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14:paraId="50DEE49E" w14:textId="457387D9" w:rsidR="00F932CB" w:rsidRDefault="00F932CB" w:rsidP="004462DC">
      <w:r>
        <w:rPr>
          <w:noProof/>
          <w:lang w:eastAsia="es-CO"/>
        </w:rPr>
        <mc:AlternateContent>
          <mc:Choice Requires="wpg">
            <w:drawing>
              <wp:anchor distT="0" distB="0" distL="114300" distR="114300" simplePos="0" relativeHeight="251657216" behindDoc="0" locked="0" layoutInCell="0" allowOverlap="1" wp14:anchorId="29A873F9" wp14:editId="76239A8A">
                <wp:simplePos x="0" y="0"/>
                <wp:positionH relativeFrom="page">
                  <wp:posOffset>4910455</wp:posOffset>
                </wp:positionH>
                <wp:positionV relativeFrom="page">
                  <wp:posOffset>-1876425</wp:posOffset>
                </wp:positionV>
                <wp:extent cx="3391723" cy="10058400"/>
                <wp:effectExtent l="0" t="0" r="0"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1723" cy="10058400"/>
                          <a:chOff x="7344" y="0"/>
                          <a:chExt cx="4896"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2" name="Rectangle 9"/>
                        <wps:cNvSpPr>
                          <a:spLocks noChangeArrowheads="1"/>
                        </wps:cNvSpPr>
                        <wps:spPr bwMode="auto">
                          <a:xfrm>
                            <a:off x="7442" y="9230"/>
                            <a:ext cx="4775" cy="6220"/>
                          </a:xfrm>
                          <a:prstGeom prst="rect">
                            <a:avLst/>
                          </a:prstGeom>
                          <a:noFill/>
                          <a:ln w="12700">
                            <a:noFill/>
                            <a:miter lim="800000"/>
                            <a:headEnd/>
                            <a:tailEnd/>
                          </a:ln>
                        </wps:spPr>
                        <wps:txbx>
                          <w:txbxContent>
                            <w:p w14:paraId="4E98006C"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794F79" w:rsidRPr="00794F79" w:rsidRDefault="00794F79"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5232F846"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eastAsia="es-CO"/>
                                </w:rPr>
                                <w:drawing>
                                  <wp:inline distT="0" distB="0" distL="0" distR="0" wp14:anchorId="43238F94" wp14:editId="53CD00AA">
                                    <wp:extent cx="355600" cy="35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58236E76" wp14:editId="10766505">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4CEFC1CA"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lang w:eastAsia="es-CO"/>
                                </w:rPr>
                                <w:drawing>
                                  <wp:inline distT="0" distB="0" distL="0" distR="0" wp14:anchorId="49D3043D" wp14:editId="3F5678BF">
                                    <wp:extent cx="622300" cy="62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300" cy="622300"/>
                                            </a:xfrm>
                                            <a:prstGeom prst="rect">
                                              <a:avLst/>
                                            </a:prstGeom>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A873F9" id="Grupo 17" o:spid="_x0000_s1026" style="position:absolute;left:0;text-align:left;margin-left:386.65pt;margin-top:-147.75pt;width:267.05pt;height:11in;z-index:251657216;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" fillcolor="#1b8bd4"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" fillcolor="#1b8bd4" stroked="f" strokecolor="white" strokeweight="1pt">
                    <v:fill r:id="rId16" o:title="" opacity="52428f" o:opacity2="52428f" type="pattern"/>
                    <v:shadow color="#d8d8d8" offset="3pt,3pt"/>
                  </v:rect>
                </v:group>
                <v:rect id="Rectangle 9" o:spid="_x0000_s1030" style="position:absolute;left:7442;top:9230;width:4775;height:6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" filled="f" stroked="f" strokeweight="1pt">
                  <v:textbox inset="28.8pt,14.4pt,14.4pt,14.4pt">
                    <w:txbxContent>
                      <w:p w14:paraId="4E98006C"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Atención al Ciudadano +57 (601) 348 77 77</w:t>
                        </w:r>
                      </w:p>
                      <w:p w14:paraId="38551BA8"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Línea Gratuita Nacional 018000 910 110</w:t>
                        </w:r>
                      </w:p>
                      <w:p w14:paraId="3412CF81"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PBX :+57 (601) 348 78 00</w:t>
                        </w:r>
                      </w:p>
                      <w:p w14:paraId="50AF48AD"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Portal Institucional www.ssf.gov.co - correo electrónico ssf@ssf.gov.co</w:t>
                        </w:r>
                      </w:p>
                      <w:p w14:paraId="6F83F341" w14:textId="77777777" w:rsidR="00794F79" w:rsidRPr="00794F79" w:rsidRDefault="00794F79" w:rsidP="00794F79">
                        <w:pPr>
                          <w:spacing w:line="220" w:lineRule="exact"/>
                          <w:jc w:val="left"/>
                          <w:rPr>
                            <w:noProof/>
                            <w:color w:val="FFFFFF" w:themeColor="background1"/>
                            <w:sz w:val="18"/>
                            <w:szCs w:val="18"/>
                            <w:lang w:eastAsia="es-CO"/>
                            <w14:textOutline w14:w="9525" w14:cap="rnd" w14:cmpd="sng" w14:algn="ctr">
                              <w14:noFill/>
                              <w14:prstDash w14:val="solid"/>
                              <w14:bevel/>
                            </w14:textOutline>
                          </w:rPr>
                        </w:pPr>
                        <w:r w:rsidRPr="00794F79">
                          <w:rPr>
                            <w:noProof/>
                            <w:color w:val="FFFFFF" w:themeColor="background1"/>
                            <w:sz w:val="18"/>
                            <w:szCs w:val="18"/>
                            <w:lang w:eastAsia="es-CO"/>
                            <w14:textOutline w14:w="9525" w14:cap="rnd" w14:cmpd="sng" w14:algn="ctr">
                              <w14:noFill/>
                              <w14:prstDash w14:val="solid"/>
                              <w14:bevel/>
                            </w14:textOutline>
                          </w:rPr>
                          <w:t>Carrera 69 No. 25 B – 44 Pisos 3, 4 y 7</w:t>
                        </w:r>
                      </w:p>
                      <w:p w14:paraId="07411583" w14:textId="3417FFB9" w:rsidR="00794F79" w:rsidRPr="00794F79" w:rsidRDefault="00794F79" w:rsidP="00794F79">
                        <w:pPr>
                          <w:spacing w:line="220" w:lineRule="exact"/>
                          <w:jc w:val="left"/>
                          <w:rPr>
                            <w:color w:val="FFFFFF" w:themeColor="background1"/>
                            <w:sz w:val="18"/>
                            <w:szCs w:val="18"/>
                            <w:lang w:val="en-US"/>
                            <w14:textOutline w14:w="9525" w14:cap="rnd" w14:cmpd="sng" w14:algn="ctr">
                              <w14:noFill/>
                              <w14:prstDash w14:val="solid"/>
                              <w14:bevel/>
                            </w14:textOutline>
                          </w:rPr>
                        </w:pPr>
                        <w:r w:rsidRPr="00794F79">
                          <w:rPr>
                            <w:noProof/>
                            <w:color w:val="FFFFFF" w:themeColor="background1"/>
                            <w:sz w:val="18"/>
                            <w:szCs w:val="18"/>
                            <w:lang w:val="en-US" w:eastAsia="es-CO"/>
                            <w14:textOutline w14:w="9525" w14:cap="rnd" w14:cmpd="sng" w14:algn="ctr">
                              <w14:noFill/>
                              <w14:prstDash w14:val="solid"/>
                              <w14:bevel/>
                            </w14:textOutline>
                          </w:rPr>
                          <w:t xml:space="preserve">Bogotá -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5232F846"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noProof/>
                            <w:lang w:val="en-US"/>
                          </w:rPr>
                          <w:drawing>
                            <wp:inline distT="0" distB="0" distL="0" distR="0" wp14:anchorId="43238F94" wp14:editId="53CD00AA">
                              <wp:extent cx="355600" cy="35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58236E76" wp14:editId="10766505">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4CEFC1CA"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F932CB">
                          <w:rPr>
                            <w:rFonts w:ascii="Arial" w:hAnsi="Arial" w:cs="Arial"/>
                            <w:noProof/>
                            <w:color w:val="FFFFFF" w:themeColor="background1"/>
                            <w:sz w:val="16"/>
                          </w:rPr>
                          <w:drawing>
                            <wp:inline distT="0" distB="0" distL="0" distR="0" wp14:anchorId="49D3043D" wp14:editId="3F5678BF">
                              <wp:extent cx="622300" cy="622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00" cy="622300"/>
                                      </a:xfrm>
                                      <a:prstGeom prst="rect">
                                        <a:avLst/>
                                      </a:prstGeom>
                                    </pic:spPr>
                                  </pic:pic>
                                </a:graphicData>
                              </a:graphic>
                            </wp:inline>
                          </w:drawing>
                        </w:r>
                      </w:p>
                    </w:txbxContent>
                  </v:textbox>
                </v:rect>
                <w10:wrap anchorx="page" anchory="page"/>
              </v:group>
            </w:pict>
          </mc:Fallback>
        </mc:AlternateContent>
      </w:r>
    </w:p>
    <w:p w14:paraId="0BBFF016" w14:textId="77777777" w:rsidR="00F932CB" w:rsidRDefault="00F932CB" w:rsidP="004462DC"/>
    <w:p w14:paraId="4F976A26" w14:textId="77777777" w:rsidR="00F932CB" w:rsidRDefault="00F932CB" w:rsidP="004462DC"/>
    <w:p w14:paraId="12377B9F" w14:textId="77777777" w:rsidR="00F932CB" w:rsidRDefault="00F932CB" w:rsidP="004462DC"/>
    <w:p w14:paraId="6B90D6CF" w14:textId="7C0BAB13" w:rsidR="00ED2C01" w:rsidRPr="004E6D76" w:rsidRDefault="00A03838" w:rsidP="00F932CB">
      <w:pPr>
        <w:jc w:val="left"/>
      </w:pPr>
      <w:r>
        <w:rPr>
          <w:noProof/>
          <w:lang w:eastAsia="es-CO"/>
        </w:rPr>
        <mc:AlternateContent>
          <mc:Choice Requires="wps">
            <w:drawing>
              <wp:anchor distT="0" distB="0" distL="114300" distR="114300" simplePos="0" relativeHeight="251659264" behindDoc="0" locked="0" layoutInCell="0" allowOverlap="1" wp14:anchorId="3B6EBCEC" wp14:editId="5D9B2AA0">
                <wp:simplePos x="0" y="0"/>
                <wp:positionH relativeFrom="page">
                  <wp:posOffset>647700</wp:posOffset>
                </wp:positionH>
                <wp:positionV relativeFrom="page">
                  <wp:posOffset>3078013</wp:posOffset>
                </wp:positionV>
                <wp:extent cx="6621780" cy="1314450"/>
                <wp:effectExtent l="0" t="0" r="26670" b="1905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780" cy="1314450"/>
                        </a:xfrm>
                        <a:prstGeom prst="rect">
                          <a:avLst/>
                        </a:prstGeom>
                        <a:solidFill>
                          <a:srgbClr val="1B8BD4"/>
                        </a:solidFill>
                        <a:ln w="12700">
                          <a:solidFill>
                            <a:srgbClr val="FFFFFF"/>
                          </a:solidFill>
                          <a:miter lim="800000"/>
                          <a:headEnd/>
                          <a:tailEnd/>
                        </a:ln>
                      </wps:spPr>
                      <wps:txbx>
                        <w:txbxContent>
                          <w:p w14:paraId="0C9A8264" w14:textId="77777777" w:rsidR="00A03838" w:rsidRDefault="00011F41" w:rsidP="00CB5408">
                            <w:pPr>
                              <w:jc w:val="center"/>
                              <w:rPr>
                                <w:b/>
                                <w:color w:val="FFFFFF" w:themeColor="background1"/>
                                <w:sz w:val="36"/>
                                <w:szCs w:val="36"/>
                                <w:lang w:val="es-MX"/>
                              </w:rPr>
                            </w:pPr>
                            <w:r>
                              <w:rPr>
                                <w:b/>
                                <w:color w:val="FFFFFF" w:themeColor="background1"/>
                                <w:sz w:val="36"/>
                                <w:szCs w:val="36"/>
                                <w:lang w:val="es-MX"/>
                              </w:rPr>
                              <w:t xml:space="preserve">INFORME TRIMESTRAL </w:t>
                            </w:r>
                          </w:p>
                          <w:p w14:paraId="4A9C84DB" w14:textId="118DEBC4" w:rsidR="004E6E97" w:rsidRDefault="00011F41" w:rsidP="00CB5408">
                            <w:pPr>
                              <w:jc w:val="center"/>
                              <w:rPr>
                                <w:b/>
                                <w:color w:val="FFFFFF" w:themeColor="background1"/>
                                <w:sz w:val="36"/>
                                <w:szCs w:val="36"/>
                                <w:lang w:val="es-MX"/>
                              </w:rPr>
                            </w:pPr>
                            <w:r>
                              <w:rPr>
                                <w:b/>
                                <w:color w:val="FFFFFF" w:themeColor="background1"/>
                                <w:sz w:val="36"/>
                                <w:szCs w:val="36"/>
                                <w:lang w:val="es-MX"/>
                              </w:rPr>
                              <w:t>AUDITORÍAS INTERNAS</w:t>
                            </w:r>
                          </w:p>
                          <w:p w14:paraId="11272DC5" w14:textId="27E314AC" w:rsidR="00011F41" w:rsidRPr="00011F41" w:rsidRDefault="00011F41" w:rsidP="00CB5408">
                            <w:pPr>
                              <w:jc w:val="center"/>
                              <w:rPr>
                                <w:b/>
                                <w:color w:val="FFFFFF" w:themeColor="background1"/>
                                <w:sz w:val="36"/>
                                <w:szCs w:val="36"/>
                                <w:lang w:val="es-MX"/>
                              </w:rPr>
                            </w:pPr>
                            <w:r>
                              <w:rPr>
                                <w:b/>
                                <w:color w:val="FFFFFF" w:themeColor="background1"/>
                                <w:sz w:val="36"/>
                                <w:szCs w:val="36"/>
                                <w:lang w:val="es-MX"/>
                              </w:rPr>
                              <w:t>PRIMER (I) TRIMESTRE 2023</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6EBCEC" id="Rectángulo 23" o:spid="_x0000_s1031" style="position:absolute;margin-left:51pt;margin-top:242.35pt;width:521.4pt;height:10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" o:allowincell="f" fillcolor="#1b8bd4" strokecolor="white" strokeweight="1pt">
                <v:textbox inset="14.4pt,,14.4pt">
                  <w:txbxContent>
                    <w:p w14:paraId="0C9A8264" w14:textId="77777777" w:rsidR="00A03838" w:rsidRDefault="00011F41" w:rsidP="00CB5408">
                      <w:pPr>
                        <w:jc w:val="center"/>
                        <w:rPr>
                          <w:b/>
                          <w:color w:val="FFFFFF" w:themeColor="background1"/>
                          <w:sz w:val="36"/>
                          <w:szCs w:val="36"/>
                          <w:lang w:val="es-MX"/>
                        </w:rPr>
                      </w:pPr>
                      <w:r>
                        <w:rPr>
                          <w:b/>
                          <w:color w:val="FFFFFF" w:themeColor="background1"/>
                          <w:sz w:val="36"/>
                          <w:szCs w:val="36"/>
                          <w:lang w:val="es-MX"/>
                        </w:rPr>
                        <w:t xml:space="preserve">INFORME TRIMESTRAL </w:t>
                      </w:r>
                    </w:p>
                    <w:p w14:paraId="4A9C84DB" w14:textId="118DEBC4" w:rsidR="004E6E97" w:rsidRDefault="00011F41" w:rsidP="00CB5408">
                      <w:pPr>
                        <w:jc w:val="center"/>
                        <w:rPr>
                          <w:b/>
                          <w:color w:val="FFFFFF" w:themeColor="background1"/>
                          <w:sz w:val="36"/>
                          <w:szCs w:val="36"/>
                          <w:lang w:val="es-MX"/>
                        </w:rPr>
                      </w:pPr>
                      <w:r>
                        <w:rPr>
                          <w:b/>
                          <w:color w:val="FFFFFF" w:themeColor="background1"/>
                          <w:sz w:val="36"/>
                          <w:szCs w:val="36"/>
                          <w:lang w:val="es-MX"/>
                        </w:rPr>
                        <w:t>AUDITORÍAS INTERNAS</w:t>
                      </w:r>
                    </w:p>
                    <w:p w14:paraId="11272DC5" w14:textId="27E314AC" w:rsidR="00011F41" w:rsidRPr="00011F41" w:rsidRDefault="00011F41" w:rsidP="00CB5408">
                      <w:pPr>
                        <w:jc w:val="center"/>
                        <w:rPr>
                          <w:b/>
                          <w:color w:val="FFFFFF" w:themeColor="background1"/>
                          <w:sz w:val="36"/>
                          <w:szCs w:val="36"/>
                          <w:lang w:val="es-MX"/>
                        </w:rPr>
                      </w:pPr>
                      <w:r>
                        <w:rPr>
                          <w:b/>
                          <w:color w:val="FFFFFF" w:themeColor="background1"/>
                          <w:sz w:val="36"/>
                          <w:szCs w:val="36"/>
                          <w:lang w:val="es-MX"/>
                        </w:rPr>
                        <w:t>PRIMER (I) TRIMESTRE 2023</w:t>
                      </w:r>
                    </w:p>
                  </w:txbxContent>
                </v:textbox>
                <w10:wrap anchorx="page" anchory="page"/>
              </v:rect>
            </w:pict>
          </mc:Fallback>
        </mc:AlternateContent>
      </w:r>
      <w:r w:rsidR="00F932CB">
        <w:rPr>
          <w:noProof/>
          <w:lang w:eastAsia="es-CO"/>
        </w:rPr>
        <w:drawing>
          <wp:inline distT="0" distB="0" distL="0" distR="0" wp14:anchorId="6944C12C" wp14:editId="487A4711">
            <wp:extent cx="3670300" cy="177288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2339" cy="1802853"/>
                    </a:xfrm>
                    <a:prstGeom prst="rect">
                      <a:avLst/>
                    </a:prstGeom>
                  </pic:spPr>
                </pic:pic>
              </a:graphicData>
            </a:graphic>
          </wp:inline>
        </w:drawing>
      </w:r>
    </w:p>
    <w:p w14:paraId="2E8DA415" w14:textId="2C61D5A1" w:rsidR="009D54CD" w:rsidRPr="004E6D76" w:rsidRDefault="009D54CD" w:rsidP="004462DC">
      <w:pPr>
        <w:rPr>
          <w:lang w:val="es-ES"/>
        </w:rPr>
      </w:pPr>
    </w:p>
    <w:p w14:paraId="0ADC8E3A" w14:textId="77777777" w:rsidR="009D54CD" w:rsidRPr="004E6D76" w:rsidRDefault="009D54CD" w:rsidP="004462DC">
      <w:pPr>
        <w:rPr>
          <w:lang w:val="es-ES"/>
        </w:rPr>
      </w:pPr>
    </w:p>
    <w:p w14:paraId="4A48FD51" w14:textId="0E720B6E" w:rsidR="009D54CD" w:rsidRPr="004E6D76" w:rsidRDefault="00F932CB" w:rsidP="004462DC">
      <w:pPr>
        <w:rPr>
          <w:lang w:val="es-ES"/>
        </w:rPr>
      </w:pPr>
      <w:r>
        <w:rPr>
          <w:noProof/>
          <w:lang w:val="en-US"/>
        </w:rPr>
        <w:softHyphen/>
      </w:r>
      <w:r>
        <w:rPr>
          <w:noProof/>
          <w:lang w:val="en-US"/>
        </w:rPr>
        <w:softHyphen/>
      </w:r>
    </w:p>
    <w:p w14:paraId="6D2AF9BE" w14:textId="29A2402F" w:rsidR="009D54CD" w:rsidRPr="004E6D76" w:rsidRDefault="009D54CD" w:rsidP="004462DC">
      <w:pPr>
        <w:rPr>
          <w:lang w:val="es-ES"/>
        </w:rPr>
      </w:pPr>
    </w:p>
    <w:p w14:paraId="24BBEEC1" w14:textId="785D75C9" w:rsidR="009D54CD" w:rsidRPr="004E6D76" w:rsidRDefault="009D54CD" w:rsidP="004462DC">
      <w:pPr>
        <w:rPr>
          <w:lang w:val="es-ES"/>
        </w:rPr>
      </w:pPr>
    </w:p>
    <w:p w14:paraId="58C317FC" w14:textId="0C6DD3D8" w:rsidR="009D54CD" w:rsidRPr="004E6D76" w:rsidRDefault="009D54CD" w:rsidP="004462DC">
      <w:pPr>
        <w:rPr>
          <w:lang w:val="es-ES"/>
        </w:rPr>
      </w:pPr>
    </w:p>
    <w:p w14:paraId="4F7C0F63" w14:textId="77777777" w:rsidR="009D54CD" w:rsidRPr="004E6D76" w:rsidRDefault="009D54CD" w:rsidP="004462DC">
      <w:pPr>
        <w:rPr>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77777777" w:rsidR="004462DC" w:rsidRDefault="004462DC" w:rsidP="004462DC">
      <w:pPr>
        <w:rPr>
          <w:lang w:val="es-ES"/>
        </w:rPr>
      </w:pPr>
    </w:p>
    <w:p w14:paraId="5E3C32CD" w14:textId="77777777" w:rsidR="004462DC" w:rsidRDefault="004462DC" w:rsidP="004462DC">
      <w:pPr>
        <w:rPr>
          <w:lang w:val="es-ES"/>
        </w:rPr>
      </w:pPr>
    </w:p>
    <w:p w14:paraId="4675D8EF" w14:textId="77777777" w:rsidR="004462DC" w:rsidRDefault="004462DC" w:rsidP="004462DC">
      <w:pPr>
        <w:rPr>
          <w:lang w:val="es-ES"/>
        </w:rPr>
      </w:pPr>
    </w:p>
    <w:p w14:paraId="32102955" w14:textId="77777777" w:rsidR="004462DC" w:rsidRDefault="004462DC" w:rsidP="004462DC">
      <w:pPr>
        <w:rPr>
          <w:lang w:val="es-ES"/>
        </w:rPr>
      </w:pPr>
    </w:p>
    <w:p w14:paraId="310E79EC" w14:textId="77777777" w:rsidR="004462DC" w:rsidRDefault="004462DC" w:rsidP="004462DC">
      <w:pPr>
        <w:rPr>
          <w:lang w:val="es-ES"/>
        </w:rPr>
      </w:pPr>
    </w:p>
    <w:p w14:paraId="1368169F" w14:textId="77777777" w:rsidR="004462DC" w:rsidRDefault="004462DC" w:rsidP="004462DC">
      <w:pPr>
        <w:rPr>
          <w:lang w:val="es-ES"/>
        </w:rPr>
      </w:pPr>
    </w:p>
    <w:p w14:paraId="1B389AF8" w14:textId="77777777" w:rsidR="004462DC" w:rsidRDefault="004462DC" w:rsidP="004462DC">
      <w:pPr>
        <w:rPr>
          <w:lang w:val="es-ES"/>
        </w:rPr>
      </w:pPr>
    </w:p>
    <w:p w14:paraId="659DE153" w14:textId="77777777" w:rsidR="004462DC" w:rsidRDefault="004462DC" w:rsidP="004462DC">
      <w:pPr>
        <w:rPr>
          <w:lang w:val="es-ES"/>
        </w:rPr>
      </w:pPr>
    </w:p>
    <w:p w14:paraId="74DA270F" w14:textId="77777777" w:rsidR="004462DC" w:rsidRDefault="004462DC" w:rsidP="004462DC">
      <w:pPr>
        <w:rPr>
          <w:lang w:val="es-ES"/>
        </w:rPr>
      </w:pPr>
    </w:p>
    <w:p w14:paraId="70195897" w14:textId="77777777" w:rsidR="004462DC" w:rsidRDefault="004462DC" w:rsidP="004462DC">
      <w:pPr>
        <w:rPr>
          <w:lang w:val="es-ES"/>
        </w:rPr>
      </w:pPr>
    </w:p>
    <w:p w14:paraId="176899A9" w14:textId="77777777" w:rsidR="004462DC" w:rsidRDefault="004462DC" w:rsidP="004462DC">
      <w:pPr>
        <w:rPr>
          <w:lang w:val="es-ES"/>
        </w:rPr>
      </w:pPr>
    </w:p>
    <w:p w14:paraId="22DBA52A" w14:textId="1DD47EA8" w:rsidR="004462DC" w:rsidRDefault="004462DC" w:rsidP="004462DC">
      <w:pPr>
        <w:rPr>
          <w:lang w:val="es-ES"/>
        </w:rPr>
      </w:pPr>
    </w:p>
    <w:p w14:paraId="5F5BFBA5" w14:textId="77777777" w:rsidR="004462DC" w:rsidRDefault="004462DC" w:rsidP="004462DC">
      <w:pPr>
        <w:rPr>
          <w:lang w:val="es-ES"/>
        </w:rPr>
      </w:pPr>
    </w:p>
    <w:p w14:paraId="66D1DC67" w14:textId="77777777" w:rsidR="004462DC" w:rsidRDefault="004462DC" w:rsidP="004462DC">
      <w:pPr>
        <w:rPr>
          <w:lang w:val="es-ES"/>
        </w:rPr>
      </w:pPr>
    </w:p>
    <w:p w14:paraId="1C01581A" w14:textId="77777777" w:rsidR="004462DC" w:rsidRDefault="004462DC" w:rsidP="004462DC">
      <w:pPr>
        <w:rPr>
          <w:lang w:val="es-ES"/>
        </w:rPr>
      </w:pPr>
    </w:p>
    <w:p w14:paraId="7A9D9A82" w14:textId="77777777" w:rsidR="004462DC" w:rsidRDefault="004462DC" w:rsidP="004462DC">
      <w:pPr>
        <w:rPr>
          <w:lang w:val="es-ES"/>
        </w:rPr>
      </w:pPr>
    </w:p>
    <w:p w14:paraId="0B3D6EDB" w14:textId="77777777" w:rsidR="004462DC" w:rsidRDefault="004462DC" w:rsidP="004462DC">
      <w:pPr>
        <w:rPr>
          <w:lang w:val="es-ES"/>
        </w:rPr>
      </w:pPr>
    </w:p>
    <w:p w14:paraId="4ED28453" w14:textId="77777777" w:rsidR="004462DC" w:rsidRDefault="004462DC" w:rsidP="004462DC">
      <w:pPr>
        <w:rPr>
          <w:lang w:val="es-ES"/>
        </w:rPr>
      </w:pPr>
    </w:p>
    <w:p w14:paraId="7D2B49E7" w14:textId="77777777" w:rsidR="004462DC" w:rsidRDefault="004462DC" w:rsidP="004462DC">
      <w:pPr>
        <w:rPr>
          <w:lang w:val="es-ES"/>
        </w:rPr>
      </w:pP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tbl>
      <w:tblPr>
        <w:tblStyle w:val="Tablaconcuadrcula"/>
        <w:tblW w:w="0" w:type="auto"/>
        <w:tblLook w:val="04A0" w:firstRow="1" w:lastRow="0" w:firstColumn="1" w:lastColumn="0" w:noHBand="0" w:noVBand="1"/>
      </w:tblPr>
      <w:tblGrid>
        <w:gridCol w:w="4975"/>
        <w:gridCol w:w="4533"/>
      </w:tblGrid>
      <w:tr w:rsidR="00011F41" w:rsidRPr="00205606" w14:paraId="1393A53A" w14:textId="77777777" w:rsidTr="00595FC2">
        <w:trPr>
          <w:trHeight w:val="567"/>
        </w:trPr>
        <w:tc>
          <w:tcPr>
            <w:tcW w:w="9912" w:type="dxa"/>
            <w:gridSpan w:val="2"/>
            <w:vAlign w:val="center"/>
          </w:tcPr>
          <w:p w14:paraId="3D417789" w14:textId="77777777" w:rsidR="00011F41" w:rsidRPr="00205606" w:rsidRDefault="00011F41" w:rsidP="00595FC2">
            <w:pPr>
              <w:pStyle w:val="Prrafodelista"/>
              <w:ind w:left="0"/>
              <w:rPr>
                <w:b/>
                <w:sz w:val="22"/>
                <w:szCs w:val="22"/>
              </w:rPr>
            </w:pPr>
            <w:r w:rsidRPr="00205606">
              <w:rPr>
                <w:b/>
                <w:sz w:val="22"/>
                <w:szCs w:val="22"/>
              </w:rPr>
              <w:lastRenderedPageBreak/>
              <w:t>1. INFORMACIÓN GENERAL</w:t>
            </w:r>
          </w:p>
        </w:tc>
      </w:tr>
      <w:tr w:rsidR="00011F41" w:rsidRPr="0003172A" w14:paraId="6A4531F7" w14:textId="77777777" w:rsidTr="00595FC2">
        <w:trPr>
          <w:trHeight w:val="454"/>
        </w:trPr>
        <w:tc>
          <w:tcPr>
            <w:tcW w:w="4975" w:type="dxa"/>
            <w:vAlign w:val="center"/>
          </w:tcPr>
          <w:p w14:paraId="22366F79" w14:textId="77777777" w:rsidR="00011F41" w:rsidRPr="00205606" w:rsidRDefault="00011F41" w:rsidP="00595FC2">
            <w:pPr>
              <w:pStyle w:val="Ttulo1"/>
              <w:rPr>
                <w:color w:val="auto"/>
              </w:rPr>
            </w:pPr>
            <w:r w:rsidRPr="00205606">
              <w:rPr>
                <w:color w:val="auto"/>
              </w:rPr>
              <w:t>1.1 Fecha De Informe:</w:t>
            </w:r>
          </w:p>
        </w:tc>
        <w:tc>
          <w:tcPr>
            <w:tcW w:w="4937" w:type="dxa"/>
          </w:tcPr>
          <w:p w14:paraId="1D5F40C9" w14:textId="30C8B033" w:rsidR="00011F41" w:rsidRPr="0003172A" w:rsidRDefault="00C965F4" w:rsidP="00595FC2">
            <w:pPr>
              <w:pStyle w:val="Prrafodelista"/>
              <w:ind w:left="0"/>
              <w:rPr>
                <w:b/>
                <w:sz w:val="22"/>
                <w:szCs w:val="22"/>
              </w:rPr>
            </w:pPr>
            <w:r>
              <w:rPr>
                <w:sz w:val="22"/>
                <w:szCs w:val="22"/>
              </w:rPr>
              <w:t>8</w:t>
            </w:r>
            <w:r w:rsidR="00011F41" w:rsidRPr="0003172A">
              <w:rPr>
                <w:sz w:val="22"/>
                <w:szCs w:val="22"/>
              </w:rPr>
              <w:t xml:space="preserve"> de </w:t>
            </w:r>
            <w:r w:rsidR="00011F41">
              <w:rPr>
                <w:sz w:val="22"/>
                <w:szCs w:val="22"/>
              </w:rPr>
              <w:t>mayo</w:t>
            </w:r>
            <w:r w:rsidR="00011F41" w:rsidRPr="0003172A">
              <w:rPr>
                <w:sz w:val="22"/>
                <w:szCs w:val="22"/>
              </w:rPr>
              <w:t xml:space="preserve"> de 202</w:t>
            </w:r>
            <w:r w:rsidR="00011F41">
              <w:rPr>
                <w:sz w:val="22"/>
                <w:szCs w:val="22"/>
              </w:rPr>
              <w:t>3</w:t>
            </w:r>
          </w:p>
        </w:tc>
      </w:tr>
      <w:tr w:rsidR="00011F41" w:rsidRPr="00205606" w14:paraId="7BDA6550" w14:textId="77777777" w:rsidTr="00595FC2">
        <w:trPr>
          <w:trHeight w:val="454"/>
        </w:trPr>
        <w:tc>
          <w:tcPr>
            <w:tcW w:w="4975" w:type="dxa"/>
            <w:vAlign w:val="center"/>
          </w:tcPr>
          <w:p w14:paraId="7B9AAD7D" w14:textId="77777777" w:rsidR="00011F41" w:rsidRPr="00205606" w:rsidRDefault="00011F41" w:rsidP="00595FC2">
            <w:pPr>
              <w:pStyle w:val="Prrafodelista"/>
              <w:ind w:left="0"/>
              <w:rPr>
                <w:b/>
                <w:sz w:val="22"/>
                <w:szCs w:val="22"/>
              </w:rPr>
            </w:pPr>
            <w:r w:rsidRPr="00205606">
              <w:rPr>
                <w:rFonts w:eastAsia="Times New Roman"/>
                <w:b/>
                <w:bCs/>
                <w:sz w:val="22"/>
                <w:szCs w:val="22"/>
              </w:rPr>
              <w:t>1.2 Periodo Evaluado:</w:t>
            </w:r>
          </w:p>
        </w:tc>
        <w:tc>
          <w:tcPr>
            <w:tcW w:w="4937" w:type="dxa"/>
          </w:tcPr>
          <w:p w14:paraId="77FE8FAA" w14:textId="5A626A0C" w:rsidR="00011F41" w:rsidRPr="00205606" w:rsidRDefault="00011F41" w:rsidP="00595FC2">
            <w:pPr>
              <w:pStyle w:val="Prrafodelista"/>
              <w:ind w:left="0"/>
              <w:rPr>
                <w:b/>
                <w:sz w:val="22"/>
                <w:szCs w:val="22"/>
              </w:rPr>
            </w:pPr>
            <w:r>
              <w:rPr>
                <w:sz w:val="22"/>
                <w:szCs w:val="22"/>
              </w:rPr>
              <w:t>Primer</w:t>
            </w:r>
            <w:r w:rsidRPr="00205606">
              <w:rPr>
                <w:sz w:val="22"/>
                <w:szCs w:val="22"/>
              </w:rPr>
              <w:t xml:space="preserve"> trimestre 202</w:t>
            </w:r>
            <w:r>
              <w:rPr>
                <w:sz w:val="22"/>
                <w:szCs w:val="22"/>
              </w:rPr>
              <w:t>3</w:t>
            </w:r>
          </w:p>
        </w:tc>
      </w:tr>
      <w:tr w:rsidR="00011F41" w:rsidRPr="00205606" w14:paraId="5B34E17C" w14:textId="77777777" w:rsidTr="00595FC2">
        <w:trPr>
          <w:trHeight w:val="454"/>
        </w:trPr>
        <w:tc>
          <w:tcPr>
            <w:tcW w:w="4975" w:type="dxa"/>
            <w:vAlign w:val="center"/>
          </w:tcPr>
          <w:p w14:paraId="046DB84F" w14:textId="77777777" w:rsidR="00011F41" w:rsidRPr="00205606" w:rsidRDefault="00011F41" w:rsidP="00595FC2">
            <w:pPr>
              <w:pStyle w:val="Ttulo1"/>
              <w:tabs>
                <w:tab w:val="left" w:pos="4262"/>
              </w:tabs>
              <w:rPr>
                <w:color w:val="auto"/>
              </w:rPr>
            </w:pPr>
            <w:r w:rsidRPr="00205606">
              <w:rPr>
                <w:color w:val="auto"/>
              </w:rPr>
              <w:t xml:space="preserve">1.3 Proceso y/o Dependencia: </w:t>
            </w:r>
          </w:p>
        </w:tc>
        <w:tc>
          <w:tcPr>
            <w:tcW w:w="4937" w:type="dxa"/>
          </w:tcPr>
          <w:p w14:paraId="00446720" w14:textId="77777777" w:rsidR="00011F41" w:rsidRPr="00205606" w:rsidRDefault="00011F41" w:rsidP="00595FC2">
            <w:pPr>
              <w:pStyle w:val="Prrafodelista"/>
              <w:ind w:left="0"/>
              <w:rPr>
                <w:b/>
                <w:sz w:val="22"/>
                <w:szCs w:val="22"/>
              </w:rPr>
            </w:pPr>
            <w:r w:rsidRPr="00205606">
              <w:rPr>
                <w:sz w:val="22"/>
                <w:szCs w:val="22"/>
              </w:rPr>
              <w:t>Oficina de Control Interno</w:t>
            </w:r>
          </w:p>
        </w:tc>
      </w:tr>
      <w:tr w:rsidR="00011F41" w:rsidRPr="00205606" w14:paraId="2767FDF6" w14:textId="77777777" w:rsidTr="00595FC2">
        <w:trPr>
          <w:trHeight w:val="454"/>
        </w:trPr>
        <w:tc>
          <w:tcPr>
            <w:tcW w:w="4975" w:type="dxa"/>
            <w:vAlign w:val="center"/>
          </w:tcPr>
          <w:p w14:paraId="16BB27FE" w14:textId="77777777" w:rsidR="00011F41" w:rsidRPr="00205606" w:rsidRDefault="00011F41" w:rsidP="00595FC2">
            <w:pPr>
              <w:pStyle w:val="Ttulo1"/>
              <w:tabs>
                <w:tab w:val="left" w:pos="4262"/>
              </w:tabs>
              <w:rPr>
                <w:color w:val="auto"/>
              </w:rPr>
            </w:pPr>
            <w:r w:rsidRPr="00205606">
              <w:rPr>
                <w:color w:val="auto"/>
              </w:rPr>
              <w:t>1.4 Líder Del Proceso y/o Dependencia:</w:t>
            </w:r>
          </w:p>
        </w:tc>
        <w:tc>
          <w:tcPr>
            <w:tcW w:w="4937" w:type="dxa"/>
          </w:tcPr>
          <w:p w14:paraId="24FA0A40" w14:textId="77777777" w:rsidR="00011F41" w:rsidRPr="00205606" w:rsidRDefault="00011F41" w:rsidP="00595FC2">
            <w:pPr>
              <w:pStyle w:val="Prrafodelista"/>
              <w:ind w:left="0"/>
              <w:rPr>
                <w:b/>
                <w:sz w:val="22"/>
                <w:szCs w:val="22"/>
              </w:rPr>
            </w:pPr>
            <w:r w:rsidRPr="00205606">
              <w:rPr>
                <w:sz w:val="22"/>
                <w:szCs w:val="22"/>
              </w:rPr>
              <w:t>José William Casallas Fandiño</w:t>
            </w:r>
          </w:p>
        </w:tc>
      </w:tr>
      <w:tr w:rsidR="00011F41" w:rsidRPr="00205606" w14:paraId="543BDFC4" w14:textId="77777777" w:rsidTr="00595FC2">
        <w:trPr>
          <w:trHeight w:val="282"/>
        </w:trPr>
        <w:tc>
          <w:tcPr>
            <w:tcW w:w="9912" w:type="dxa"/>
            <w:gridSpan w:val="2"/>
            <w:shd w:val="clear" w:color="auto" w:fill="8DB3E2" w:themeFill="text2" w:themeFillTint="66"/>
          </w:tcPr>
          <w:p w14:paraId="5B868F7F" w14:textId="77777777" w:rsidR="00011F41" w:rsidRPr="00205606" w:rsidRDefault="00011F41" w:rsidP="00595FC2">
            <w:pPr>
              <w:pStyle w:val="Prrafodelista"/>
              <w:ind w:left="0"/>
              <w:rPr>
                <w:b/>
                <w:sz w:val="22"/>
                <w:szCs w:val="22"/>
              </w:rPr>
            </w:pPr>
          </w:p>
        </w:tc>
      </w:tr>
      <w:tr w:rsidR="00011F41" w:rsidRPr="00205606" w14:paraId="3E96E9EF" w14:textId="77777777" w:rsidTr="00595FC2">
        <w:trPr>
          <w:trHeight w:val="967"/>
        </w:trPr>
        <w:tc>
          <w:tcPr>
            <w:tcW w:w="9912" w:type="dxa"/>
            <w:gridSpan w:val="2"/>
          </w:tcPr>
          <w:p w14:paraId="5C78B73C" w14:textId="77777777" w:rsidR="006C3C7B" w:rsidRDefault="006C3C7B" w:rsidP="00595FC2">
            <w:pPr>
              <w:pStyle w:val="Prrafodelista"/>
              <w:ind w:left="0"/>
              <w:rPr>
                <w:b/>
                <w:sz w:val="22"/>
                <w:szCs w:val="22"/>
              </w:rPr>
            </w:pPr>
          </w:p>
          <w:p w14:paraId="180439DF" w14:textId="74181F61" w:rsidR="00011F41" w:rsidRPr="00205606" w:rsidRDefault="00011F41" w:rsidP="00595FC2">
            <w:pPr>
              <w:pStyle w:val="Prrafodelista"/>
              <w:ind w:left="0"/>
              <w:rPr>
                <w:b/>
                <w:sz w:val="22"/>
                <w:szCs w:val="22"/>
              </w:rPr>
            </w:pPr>
            <w:r w:rsidRPr="00205606">
              <w:rPr>
                <w:b/>
                <w:sz w:val="22"/>
                <w:szCs w:val="22"/>
              </w:rPr>
              <w:t>2. OBJETIVO</w:t>
            </w:r>
          </w:p>
          <w:p w14:paraId="752CE76A" w14:textId="77777777" w:rsidR="00011F41" w:rsidRPr="00205606" w:rsidRDefault="00011F41" w:rsidP="00595FC2">
            <w:pPr>
              <w:pStyle w:val="Prrafodelista"/>
              <w:ind w:left="0"/>
              <w:rPr>
                <w:sz w:val="22"/>
                <w:szCs w:val="22"/>
              </w:rPr>
            </w:pPr>
          </w:p>
          <w:p w14:paraId="56B6D1AE" w14:textId="48D4D5C9" w:rsidR="00011F41" w:rsidRPr="00205606" w:rsidRDefault="00011F41" w:rsidP="00595FC2">
            <w:pPr>
              <w:pStyle w:val="Prrafodelista"/>
              <w:spacing w:line="360" w:lineRule="auto"/>
              <w:ind w:left="0"/>
              <w:rPr>
                <w:sz w:val="22"/>
                <w:szCs w:val="22"/>
              </w:rPr>
            </w:pPr>
            <w:r w:rsidRPr="00205606">
              <w:rPr>
                <w:sz w:val="22"/>
                <w:szCs w:val="22"/>
              </w:rPr>
              <w:t>En cumplimiento del Plan Anual de Auditoría vigencia 202</w:t>
            </w:r>
            <w:r>
              <w:rPr>
                <w:sz w:val="22"/>
                <w:szCs w:val="22"/>
              </w:rPr>
              <w:t>3</w:t>
            </w:r>
            <w:r w:rsidRPr="00205606">
              <w:rPr>
                <w:sz w:val="22"/>
                <w:szCs w:val="22"/>
              </w:rPr>
              <w:t xml:space="preserve"> aprobado por el Comité Institucional de Coordinación del Sistema de Control Interno y específicamente el Decreto 338 de 2019, el objetivo del presente informe es dar a conocer los resultados obtenidos de las auditorías internas realizadas en el </w:t>
            </w:r>
            <w:r>
              <w:rPr>
                <w:sz w:val="22"/>
                <w:szCs w:val="22"/>
              </w:rPr>
              <w:t>primer</w:t>
            </w:r>
            <w:r w:rsidRPr="00205606">
              <w:rPr>
                <w:sz w:val="22"/>
                <w:szCs w:val="22"/>
              </w:rPr>
              <w:t xml:space="preserve"> trimestre del año 202</w:t>
            </w:r>
            <w:r>
              <w:rPr>
                <w:sz w:val="22"/>
                <w:szCs w:val="22"/>
              </w:rPr>
              <w:t>3.</w:t>
            </w:r>
          </w:p>
        </w:tc>
      </w:tr>
      <w:tr w:rsidR="00011F41" w:rsidRPr="00205606" w14:paraId="6889E889" w14:textId="77777777" w:rsidTr="00595FC2">
        <w:trPr>
          <w:trHeight w:val="999"/>
        </w:trPr>
        <w:tc>
          <w:tcPr>
            <w:tcW w:w="9912" w:type="dxa"/>
            <w:gridSpan w:val="2"/>
          </w:tcPr>
          <w:p w14:paraId="75146F89" w14:textId="77777777" w:rsidR="006C3C7B" w:rsidRDefault="006C3C7B" w:rsidP="00595FC2">
            <w:pPr>
              <w:pStyle w:val="Prrafodelista"/>
              <w:ind w:left="0"/>
              <w:rPr>
                <w:b/>
                <w:sz w:val="22"/>
                <w:szCs w:val="22"/>
              </w:rPr>
            </w:pPr>
          </w:p>
          <w:p w14:paraId="3E995AFA" w14:textId="1E1A6153" w:rsidR="00011F41" w:rsidRPr="00205606" w:rsidRDefault="00011F41" w:rsidP="00595FC2">
            <w:pPr>
              <w:pStyle w:val="Prrafodelista"/>
              <w:ind w:left="0"/>
              <w:rPr>
                <w:b/>
                <w:sz w:val="22"/>
                <w:szCs w:val="22"/>
              </w:rPr>
            </w:pPr>
            <w:r w:rsidRPr="00205606">
              <w:rPr>
                <w:b/>
                <w:sz w:val="22"/>
                <w:szCs w:val="22"/>
              </w:rPr>
              <w:t>3. ALCANCE</w:t>
            </w:r>
          </w:p>
          <w:p w14:paraId="1C440AE7" w14:textId="77777777" w:rsidR="00011F41" w:rsidRPr="00205606" w:rsidRDefault="00011F41" w:rsidP="00595FC2">
            <w:pPr>
              <w:pStyle w:val="Prrafodelista"/>
              <w:ind w:left="0"/>
              <w:rPr>
                <w:b/>
                <w:sz w:val="22"/>
                <w:szCs w:val="22"/>
              </w:rPr>
            </w:pPr>
          </w:p>
          <w:p w14:paraId="4406989A" w14:textId="77777777" w:rsidR="00011F41" w:rsidRDefault="00011F41" w:rsidP="00595FC2">
            <w:pPr>
              <w:pStyle w:val="Prrafodelista"/>
              <w:ind w:left="0"/>
              <w:rPr>
                <w:sz w:val="22"/>
                <w:szCs w:val="22"/>
              </w:rPr>
            </w:pPr>
            <w:r w:rsidRPr="00205606">
              <w:rPr>
                <w:sz w:val="22"/>
                <w:szCs w:val="22"/>
              </w:rPr>
              <w:t xml:space="preserve">Comprende el resultado de las auditorías que se llevaron a cabo en el </w:t>
            </w:r>
            <w:r>
              <w:rPr>
                <w:sz w:val="22"/>
                <w:szCs w:val="22"/>
              </w:rPr>
              <w:t>primer</w:t>
            </w:r>
            <w:r w:rsidRPr="00205606">
              <w:rPr>
                <w:sz w:val="22"/>
                <w:szCs w:val="22"/>
              </w:rPr>
              <w:t xml:space="preserve"> trimestre de 202</w:t>
            </w:r>
            <w:r>
              <w:rPr>
                <w:sz w:val="22"/>
                <w:szCs w:val="22"/>
              </w:rPr>
              <w:t>3</w:t>
            </w:r>
            <w:r w:rsidRPr="00205606">
              <w:rPr>
                <w:sz w:val="22"/>
                <w:szCs w:val="22"/>
              </w:rPr>
              <w:t>.</w:t>
            </w:r>
          </w:p>
          <w:p w14:paraId="796310D6" w14:textId="180BC6E4" w:rsidR="006C3C7B" w:rsidRPr="00205606" w:rsidRDefault="006C3C7B" w:rsidP="00595FC2">
            <w:pPr>
              <w:pStyle w:val="Prrafodelista"/>
              <w:ind w:left="0"/>
              <w:rPr>
                <w:sz w:val="22"/>
                <w:szCs w:val="22"/>
              </w:rPr>
            </w:pPr>
          </w:p>
        </w:tc>
      </w:tr>
      <w:tr w:rsidR="00011F41" w:rsidRPr="00205606" w14:paraId="24A47C05" w14:textId="77777777" w:rsidTr="00595FC2">
        <w:trPr>
          <w:trHeight w:val="1408"/>
        </w:trPr>
        <w:tc>
          <w:tcPr>
            <w:tcW w:w="9912" w:type="dxa"/>
            <w:gridSpan w:val="2"/>
          </w:tcPr>
          <w:p w14:paraId="7AC5CD75" w14:textId="77777777" w:rsidR="006C3C7B" w:rsidRDefault="006C3C7B" w:rsidP="00595FC2">
            <w:pPr>
              <w:pStyle w:val="Prrafodelista"/>
              <w:ind w:left="0"/>
              <w:rPr>
                <w:b/>
                <w:sz w:val="22"/>
                <w:szCs w:val="22"/>
              </w:rPr>
            </w:pPr>
          </w:p>
          <w:p w14:paraId="0DAAC749" w14:textId="4C191EF7" w:rsidR="00011F41" w:rsidRPr="00205606" w:rsidRDefault="00011F41" w:rsidP="00595FC2">
            <w:pPr>
              <w:pStyle w:val="Prrafodelista"/>
              <w:ind w:left="0"/>
              <w:rPr>
                <w:b/>
                <w:sz w:val="22"/>
                <w:szCs w:val="22"/>
              </w:rPr>
            </w:pPr>
            <w:r w:rsidRPr="00205606">
              <w:rPr>
                <w:b/>
                <w:sz w:val="22"/>
                <w:szCs w:val="22"/>
              </w:rPr>
              <w:t>4. CRITERIOS</w:t>
            </w:r>
          </w:p>
          <w:p w14:paraId="6BABE421" w14:textId="77777777" w:rsidR="00011F41" w:rsidRPr="00205606" w:rsidRDefault="00011F41" w:rsidP="00595FC2">
            <w:pPr>
              <w:pStyle w:val="Prrafodelista"/>
              <w:ind w:left="0"/>
              <w:rPr>
                <w:b/>
                <w:sz w:val="22"/>
                <w:szCs w:val="22"/>
              </w:rPr>
            </w:pPr>
          </w:p>
          <w:p w14:paraId="3C5BB110" w14:textId="77777777" w:rsidR="00011F41" w:rsidRPr="00205606" w:rsidRDefault="00011F41" w:rsidP="00595FC2">
            <w:pPr>
              <w:pStyle w:val="Prrafodelista"/>
              <w:spacing w:line="360" w:lineRule="auto"/>
              <w:ind w:left="0"/>
              <w:rPr>
                <w:sz w:val="22"/>
                <w:szCs w:val="22"/>
              </w:rPr>
            </w:pPr>
            <w:r w:rsidRPr="00205606">
              <w:rPr>
                <w:sz w:val="22"/>
                <w:szCs w:val="22"/>
              </w:rPr>
              <w:t xml:space="preserve">El presente informe se elabora en virtud de lo establecido en el Decreto 1083 de 2015 Artículo 2.2.21.4.7, Parágrafo 1° (modificado mediante el Artículo 1 del Decreto 338 de 2019) </w:t>
            </w:r>
            <w:r w:rsidRPr="00205606">
              <w:rPr>
                <w:i/>
                <w:sz w:val="22"/>
                <w:szCs w:val="22"/>
              </w:rPr>
              <w:t>“Los informes de auditoría, (…) [emitidos por la Oficina de Control Interno] tendrán como destinatario principal el representante legal de la Entidad y el Comité Institucional de Coordinación de Control Interno y/o Comité de Auditoría y/o Junta Directiva (…)”.</w:t>
            </w:r>
          </w:p>
        </w:tc>
      </w:tr>
      <w:tr w:rsidR="00011F41" w:rsidRPr="00205606" w14:paraId="7A52D4CA" w14:textId="77777777" w:rsidTr="00595FC2">
        <w:trPr>
          <w:trHeight w:val="975"/>
        </w:trPr>
        <w:tc>
          <w:tcPr>
            <w:tcW w:w="9912" w:type="dxa"/>
            <w:gridSpan w:val="2"/>
          </w:tcPr>
          <w:p w14:paraId="5CBA7E39" w14:textId="77777777" w:rsidR="006C3C7B" w:rsidRDefault="006C3C7B" w:rsidP="00595FC2">
            <w:pPr>
              <w:pStyle w:val="Prrafodelista"/>
              <w:ind w:left="0"/>
              <w:rPr>
                <w:b/>
                <w:sz w:val="22"/>
                <w:szCs w:val="22"/>
              </w:rPr>
            </w:pPr>
          </w:p>
          <w:p w14:paraId="5536910D" w14:textId="1167F8A5" w:rsidR="00011F41" w:rsidRDefault="00011F41" w:rsidP="00595FC2">
            <w:pPr>
              <w:pStyle w:val="Prrafodelista"/>
              <w:ind w:left="0"/>
              <w:rPr>
                <w:b/>
                <w:sz w:val="22"/>
                <w:szCs w:val="22"/>
              </w:rPr>
            </w:pPr>
            <w:r w:rsidRPr="00205606">
              <w:rPr>
                <w:b/>
                <w:sz w:val="22"/>
                <w:szCs w:val="22"/>
              </w:rPr>
              <w:t>5. GESTIÓN / RESULTADO DEL SEGUIMIENTO</w:t>
            </w:r>
          </w:p>
          <w:p w14:paraId="24E8B7BB" w14:textId="77777777" w:rsidR="00930E73" w:rsidRPr="00205606" w:rsidRDefault="00930E73" w:rsidP="00595FC2">
            <w:pPr>
              <w:pStyle w:val="Prrafodelista"/>
              <w:ind w:left="0"/>
              <w:rPr>
                <w:b/>
                <w:sz w:val="22"/>
                <w:szCs w:val="22"/>
              </w:rPr>
            </w:pPr>
          </w:p>
          <w:p w14:paraId="29677345" w14:textId="1919A052" w:rsidR="00011F41" w:rsidRDefault="00011F41" w:rsidP="00595FC2">
            <w:pPr>
              <w:spacing w:line="360" w:lineRule="auto"/>
            </w:pPr>
            <w:r>
              <w:t xml:space="preserve">De acuerdo con el </w:t>
            </w:r>
            <w:r w:rsidRPr="00205606">
              <w:t xml:space="preserve">Plan Anual de Auditorías </w:t>
            </w:r>
            <w:r>
              <w:t xml:space="preserve">2023 </w:t>
            </w:r>
            <w:r w:rsidRPr="000B7A8E">
              <w:t xml:space="preserve">en el marco de sus funciones </w:t>
            </w:r>
            <w:r>
              <w:t xml:space="preserve">la Oficina de Control Interno en el </w:t>
            </w:r>
            <w:r w:rsidRPr="000B7A8E">
              <w:t>R</w:t>
            </w:r>
            <w:r>
              <w:t>ol de Evaluación y Seguimiento durante el primer tri</w:t>
            </w:r>
            <w:r w:rsidR="006E27DE">
              <w:t>mestre de 2023 llevó a cabo cuatro</w:t>
            </w:r>
            <w:r>
              <w:t xml:space="preserve"> (</w:t>
            </w:r>
            <w:r w:rsidR="006E27DE">
              <w:t>4</w:t>
            </w:r>
            <w:r>
              <w:t xml:space="preserve">) auditorías internas a los siguientes procesos: </w:t>
            </w:r>
            <w:r w:rsidRPr="00BD6094">
              <w:t>“</w:t>
            </w:r>
            <w:r w:rsidRPr="00BD6094">
              <w:rPr>
                <w:i/>
              </w:rPr>
              <w:t xml:space="preserve">Gestión Jurídica, </w:t>
            </w:r>
            <w:r w:rsidR="006C3C7B" w:rsidRPr="00BD6094">
              <w:rPr>
                <w:i/>
              </w:rPr>
              <w:t>Interacción con el Ciudadano</w:t>
            </w:r>
            <w:r w:rsidR="00085E7A" w:rsidRPr="00BD6094">
              <w:rPr>
                <w:i/>
              </w:rPr>
              <w:t xml:space="preserve">, </w:t>
            </w:r>
            <w:r w:rsidRPr="00BD6094">
              <w:rPr>
                <w:i/>
              </w:rPr>
              <w:t>Gestión de Talento Humano</w:t>
            </w:r>
            <w:r w:rsidR="00085E7A" w:rsidRPr="00BD6094">
              <w:rPr>
                <w:i/>
              </w:rPr>
              <w:t xml:space="preserve"> y</w:t>
            </w:r>
            <w:r w:rsidRPr="00BD6094">
              <w:rPr>
                <w:i/>
              </w:rPr>
              <w:t xml:space="preserve"> Planeación Institucional”.</w:t>
            </w:r>
            <w:r w:rsidR="00273C58">
              <w:rPr>
                <w:i/>
              </w:rPr>
              <w:t xml:space="preserve"> </w:t>
            </w:r>
          </w:p>
          <w:p w14:paraId="00BDE5DA" w14:textId="77777777" w:rsidR="00011F41" w:rsidRDefault="00011F41" w:rsidP="00595FC2">
            <w:pPr>
              <w:spacing w:line="360" w:lineRule="auto"/>
            </w:pPr>
          </w:p>
          <w:p w14:paraId="10279020" w14:textId="2421C3F8" w:rsidR="00011F41" w:rsidRPr="008813D9" w:rsidRDefault="00011F41" w:rsidP="00595FC2">
            <w:pPr>
              <w:spacing w:line="360" w:lineRule="auto"/>
              <w:rPr>
                <w:lang w:val="es-MX"/>
              </w:rPr>
            </w:pPr>
            <w:r>
              <w:lastRenderedPageBreak/>
              <w:t>Las auditorías</w:t>
            </w:r>
            <w:r>
              <w:rPr>
                <w:lang w:val="es-MX"/>
              </w:rPr>
              <w:t xml:space="preserve"> tuvieron</w:t>
            </w:r>
            <w:r w:rsidRPr="008813D9">
              <w:rPr>
                <w:lang w:val="es-MX"/>
              </w:rPr>
              <w:t xml:space="preserve"> por </w:t>
            </w:r>
            <w:r w:rsidRPr="008813D9">
              <w:rPr>
                <w:lang w:val="es-ES_tradnl"/>
              </w:rPr>
              <w:t xml:space="preserve">objetivo </w:t>
            </w:r>
            <w:r w:rsidRPr="008813D9">
              <w:rPr>
                <w:i/>
                <w:iCs/>
                <w:lang w:val="es-ES_tradnl"/>
              </w:rPr>
              <w:t>“</w:t>
            </w:r>
            <w:r w:rsidRPr="008813D9">
              <w:rPr>
                <w:bCs/>
                <w:i/>
                <w:iCs/>
              </w:rPr>
              <w:t>Evaluar de manera objetiva e independiente la g</w:t>
            </w:r>
            <w:r>
              <w:rPr>
                <w:bCs/>
                <w:i/>
                <w:iCs/>
              </w:rPr>
              <w:t>estión realizada por el proceso</w:t>
            </w:r>
            <w:r w:rsidRPr="008813D9">
              <w:rPr>
                <w:bCs/>
                <w:i/>
                <w:iCs/>
              </w:rPr>
              <w:t xml:space="preserve"> en el marco del ciclo PHVA establecido en la caracterización documentada en el Sistema de Gestión, con el propósito de contribuir al mejoramiento continuo y garantizar de manera oportuna y eficiente el cumplimiento del objetivo del proceso.</w:t>
            </w:r>
            <w:r>
              <w:rPr>
                <w:bCs/>
                <w:i/>
                <w:iCs/>
              </w:rPr>
              <w:t xml:space="preserve">”, </w:t>
            </w:r>
            <w:r>
              <w:rPr>
                <w:bCs/>
                <w:iCs/>
              </w:rPr>
              <w:t>y como alcance c</w:t>
            </w:r>
            <w:r w:rsidRPr="008813D9">
              <w:rPr>
                <w:bCs/>
                <w:iCs/>
              </w:rPr>
              <w:t>omprendió la evaluación de los controles internos propios de</w:t>
            </w:r>
            <w:r>
              <w:rPr>
                <w:bCs/>
                <w:iCs/>
              </w:rPr>
              <w:t xml:space="preserve"> cada proceso auditado, e</w:t>
            </w:r>
            <w:r w:rsidRPr="003A624F">
              <w:rPr>
                <w:bCs/>
                <w:iCs/>
              </w:rPr>
              <w:t xml:space="preserve">l periodo del alcance de las auditorías comprendió parte de la vigencia </w:t>
            </w:r>
            <w:r w:rsidR="00C965F4" w:rsidRPr="00BD6094">
              <w:rPr>
                <w:bCs/>
                <w:iCs/>
              </w:rPr>
              <w:t>2022</w:t>
            </w:r>
            <w:r w:rsidRPr="00BD6094">
              <w:rPr>
                <w:bCs/>
                <w:iCs/>
              </w:rPr>
              <w:t>.</w:t>
            </w:r>
          </w:p>
          <w:p w14:paraId="58D0CA61" w14:textId="77777777" w:rsidR="00011F41" w:rsidRPr="00F56EF7" w:rsidRDefault="00011F41" w:rsidP="00595FC2">
            <w:pPr>
              <w:rPr>
                <w:sz w:val="10"/>
                <w:szCs w:val="10"/>
              </w:rPr>
            </w:pPr>
          </w:p>
          <w:p w14:paraId="5CF0DDC4" w14:textId="77777777" w:rsidR="00011F41" w:rsidRPr="00205606" w:rsidRDefault="00011F41" w:rsidP="00595FC2">
            <w:pPr>
              <w:spacing w:line="360" w:lineRule="auto"/>
            </w:pPr>
            <w:r w:rsidRPr="0023499A">
              <w:t>En cuanto a la ejecución de las auditorías se consideraron como principales criterios, los siguientes: caracterización de los procesos y sus procedimientos, la normatividad legal vigente a la fecha aplicable a los diferentes procesos, la norma ISO 9001:2015, el modelo Integrado de Planeación y Gestión MIPG, planes de acción, indicadores de gestión, riesgos de gestión y corrupción, así como los planes de mejoramiento y las políticas, manuales, instructivos, guías y lineamientos aplicables</w:t>
            </w:r>
            <w:r>
              <w:t xml:space="preserve">. </w:t>
            </w:r>
          </w:p>
          <w:p w14:paraId="1167DF0D" w14:textId="77777777" w:rsidR="00BD6094" w:rsidRPr="00F56EF7" w:rsidRDefault="00BD6094" w:rsidP="00595FC2">
            <w:pPr>
              <w:spacing w:line="360" w:lineRule="auto"/>
              <w:contextualSpacing/>
              <w:rPr>
                <w:sz w:val="10"/>
                <w:szCs w:val="10"/>
                <w:lang w:val="es-ES_tradnl"/>
              </w:rPr>
            </w:pPr>
          </w:p>
          <w:p w14:paraId="6DEDC87C" w14:textId="19A60704" w:rsidR="00011F41" w:rsidRDefault="00011F41" w:rsidP="00595FC2">
            <w:pPr>
              <w:spacing w:line="360" w:lineRule="auto"/>
              <w:contextualSpacing/>
              <w:rPr>
                <w:lang w:val="es-MX"/>
              </w:rPr>
            </w:pPr>
            <w:r w:rsidRPr="00CF07DB">
              <w:rPr>
                <w:lang w:val="es-ES_tradnl"/>
              </w:rPr>
              <w:t xml:space="preserve">La ejecución de la auditorias se desarrolló entre los meses de </w:t>
            </w:r>
            <w:r w:rsidR="00A03838" w:rsidRPr="00CF07DB">
              <w:rPr>
                <w:lang w:val="es-ES_tradnl"/>
              </w:rPr>
              <w:t>enero</w:t>
            </w:r>
            <w:r w:rsidRPr="00CF07DB">
              <w:rPr>
                <w:lang w:val="es-ES_tradnl"/>
              </w:rPr>
              <w:t xml:space="preserve"> y </w:t>
            </w:r>
            <w:r w:rsidR="00A03838" w:rsidRPr="00CF07DB">
              <w:rPr>
                <w:lang w:val="es-ES_tradnl"/>
              </w:rPr>
              <w:t>abril</w:t>
            </w:r>
            <w:r w:rsidRPr="00CF07DB">
              <w:rPr>
                <w:lang w:val="es-ES_tradnl"/>
              </w:rPr>
              <w:t xml:space="preserve"> de 202</w:t>
            </w:r>
            <w:r w:rsidR="00A03838" w:rsidRPr="00CF07DB">
              <w:rPr>
                <w:lang w:val="es-ES_tradnl"/>
              </w:rPr>
              <w:t>3</w:t>
            </w:r>
            <w:r w:rsidRPr="00CF07DB">
              <w:rPr>
                <w:lang w:val="es-ES_tradnl"/>
              </w:rPr>
              <w:t xml:space="preserve">, </w:t>
            </w:r>
            <w:r w:rsidRPr="00CF07DB">
              <w:rPr>
                <w:lang w:val="es-MX"/>
              </w:rPr>
              <w:t>identificando</w:t>
            </w:r>
            <w:r>
              <w:rPr>
                <w:lang w:val="es-MX"/>
              </w:rPr>
              <w:t xml:space="preserve"> el número de hallazgos y oportunidades de mejora que se relacionan:  </w:t>
            </w:r>
          </w:p>
          <w:p w14:paraId="275B7443" w14:textId="77777777" w:rsidR="00033D09" w:rsidRPr="00F56EF7" w:rsidRDefault="00033D09" w:rsidP="00595FC2">
            <w:pPr>
              <w:spacing w:line="360" w:lineRule="auto"/>
              <w:contextualSpacing/>
              <w:rPr>
                <w:sz w:val="12"/>
                <w:szCs w:val="12"/>
                <w:lang w:val="es-MX"/>
              </w:rPr>
            </w:pPr>
          </w:p>
          <w:tbl>
            <w:tblPr>
              <w:tblW w:w="8300" w:type="dxa"/>
              <w:jc w:val="center"/>
              <w:tblCellMar>
                <w:left w:w="70" w:type="dxa"/>
                <w:right w:w="70" w:type="dxa"/>
              </w:tblCellMar>
              <w:tblLook w:val="04A0" w:firstRow="1" w:lastRow="0" w:firstColumn="1" w:lastColumn="0" w:noHBand="0" w:noVBand="1"/>
            </w:tblPr>
            <w:tblGrid>
              <w:gridCol w:w="1188"/>
              <w:gridCol w:w="2003"/>
              <w:gridCol w:w="1187"/>
              <w:gridCol w:w="1182"/>
              <w:gridCol w:w="1195"/>
              <w:gridCol w:w="1545"/>
            </w:tblGrid>
            <w:tr w:rsidR="00033D09" w:rsidRPr="00033D09" w14:paraId="27940673" w14:textId="77777777" w:rsidTr="00033D09">
              <w:trPr>
                <w:trHeight w:val="702"/>
                <w:jc w:val="center"/>
              </w:trPr>
              <w:tc>
                <w:tcPr>
                  <w:tcW w:w="1198" w:type="dxa"/>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C0EBB88"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No. AUDITORÍA</w:t>
                  </w:r>
                </w:p>
              </w:tc>
              <w:tc>
                <w:tcPr>
                  <w:tcW w:w="2072" w:type="dxa"/>
                  <w:tcBorders>
                    <w:top w:val="single" w:sz="8" w:space="0" w:color="305496"/>
                    <w:left w:val="nil"/>
                    <w:bottom w:val="single" w:sz="8" w:space="0" w:color="305496"/>
                    <w:right w:val="single" w:sz="8" w:space="0" w:color="305496"/>
                  </w:tcBorders>
                  <w:shd w:val="clear" w:color="000000" w:fill="BDD7EE"/>
                  <w:vAlign w:val="center"/>
                  <w:hideMark/>
                </w:tcPr>
                <w:p w14:paraId="0C3D3929"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PROCESO AUDITADO</w:t>
                  </w:r>
                </w:p>
              </w:tc>
              <w:tc>
                <w:tcPr>
                  <w:tcW w:w="1198" w:type="dxa"/>
                  <w:tcBorders>
                    <w:top w:val="single" w:sz="8" w:space="0" w:color="305496"/>
                    <w:left w:val="nil"/>
                    <w:bottom w:val="single" w:sz="8" w:space="0" w:color="305496"/>
                    <w:right w:val="single" w:sz="8" w:space="0" w:color="305496"/>
                  </w:tcBorders>
                  <w:shd w:val="clear" w:color="000000" w:fill="BDD7EE"/>
                  <w:vAlign w:val="center"/>
                  <w:hideMark/>
                </w:tcPr>
                <w:p w14:paraId="23C68AFA"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REUNIÓN DE APERTURA</w:t>
                  </w:r>
                </w:p>
              </w:tc>
              <w:tc>
                <w:tcPr>
                  <w:tcW w:w="1198" w:type="dxa"/>
                  <w:tcBorders>
                    <w:top w:val="single" w:sz="8" w:space="0" w:color="305496"/>
                    <w:left w:val="nil"/>
                    <w:bottom w:val="single" w:sz="8" w:space="0" w:color="305496"/>
                    <w:right w:val="single" w:sz="8" w:space="0" w:color="305496"/>
                  </w:tcBorders>
                  <w:shd w:val="clear" w:color="000000" w:fill="BDD7EE"/>
                  <w:vAlign w:val="center"/>
                  <w:hideMark/>
                </w:tcPr>
                <w:p w14:paraId="12CE4B53"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REUNIÓN DE CIERRE</w:t>
                  </w:r>
                </w:p>
              </w:tc>
              <w:tc>
                <w:tcPr>
                  <w:tcW w:w="1199" w:type="dxa"/>
                  <w:tcBorders>
                    <w:top w:val="single" w:sz="8" w:space="0" w:color="305496"/>
                    <w:left w:val="nil"/>
                    <w:bottom w:val="single" w:sz="8" w:space="0" w:color="305496"/>
                    <w:right w:val="single" w:sz="8" w:space="0" w:color="305496"/>
                  </w:tcBorders>
                  <w:shd w:val="clear" w:color="000000" w:fill="BDD7EE"/>
                  <w:vAlign w:val="center"/>
                  <w:hideMark/>
                </w:tcPr>
                <w:p w14:paraId="0F2C72F7"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HALLAZGOS</w:t>
                  </w:r>
                </w:p>
              </w:tc>
              <w:tc>
                <w:tcPr>
                  <w:tcW w:w="1435" w:type="dxa"/>
                  <w:tcBorders>
                    <w:top w:val="single" w:sz="8" w:space="0" w:color="305496"/>
                    <w:left w:val="nil"/>
                    <w:bottom w:val="single" w:sz="8" w:space="0" w:color="305496"/>
                    <w:right w:val="single" w:sz="8" w:space="0" w:color="305496"/>
                  </w:tcBorders>
                  <w:shd w:val="clear" w:color="000000" w:fill="BDD7EE"/>
                  <w:vAlign w:val="center"/>
                  <w:hideMark/>
                </w:tcPr>
                <w:p w14:paraId="37432FF8"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OPORTUNIDADES DE MEJORA</w:t>
                  </w:r>
                </w:p>
              </w:tc>
            </w:tr>
            <w:tr w:rsidR="00033D09" w:rsidRPr="00033D09" w14:paraId="0FD20C4D" w14:textId="77777777" w:rsidTr="00033D09">
              <w:trPr>
                <w:trHeight w:val="702"/>
                <w:jc w:val="center"/>
              </w:trPr>
              <w:tc>
                <w:tcPr>
                  <w:tcW w:w="1198" w:type="dxa"/>
                  <w:tcBorders>
                    <w:top w:val="nil"/>
                    <w:left w:val="single" w:sz="8" w:space="0" w:color="305496"/>
                    <w:bottom w:val="single" w:sz="8" w:space="0" w:color="305496"/>
                    <w:right w:val="single" w:sz="8" w:space="0" w:color="305496"/>
                  </w:tcBorders>
                  <w:shd w:val="clear" w:color="000000" w:fill="FFFFFF"/>
                  <w:vAlign w:val="center"/>
                  <w:hideMark/>
                </w:tcPr>
                <w:p w14:paraId="74C83CF2"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374</w:t>
                  </w:r>
                </w:p>
              </w:tc>
              <w:tc>
                <w:tcPr>
                  <w:tcW w:w="2072" w:type="dxa"/>
                  <w:tcBorders>
                    <w:top w:val="nil"/>
                    <w:left w:val="nil"/>
                    <w:bottom w:val="single" w:sz="8" w:space="0" w:color="305496"/>
                    <w:right w:val="single" w:sz="8" w:space="0" w:color="305496"/>
                  </w:tcBorders>
                  <w:shd w:val="clear" w:color="000000" w:fill="FFFFFF"/>
                  <w:vAlign w:val="center"/>
                  <w:hideMark/>
                </w:tcPr>
                <w:p w14:paraId="40D70195"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eastAsia="es-ES"/>
                    </w:rPr>
                    <w:t>Gestión Jurídica</w:t>
                  </w:r>
                </w:p>
              </w:tc>
              <w:tc>
                <w:tcPr>
                  <w:tcW w:w="1198" w:type="dxa"/>
                  <w:tcBorders>
                    <w:top w:val="nil"/>
                    <w:left w:val="nil"/>
                    <w:bottom w:val="single" w:sz="8" w:space="0" w:color="305496"/>
                    <w:right w:val="single" w:sz="8" w:space="0" w:color="305496"/>
                  </w:tcBorders>
                  <w:shd w:val="clear" w:color="000000" w:fill="FFFFFF"/>
                  <w:vAlign w:val="center"/>
                  <w:hideMark/>
                </w:tcPr>
                <w:p w14:paraId="136479BD"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03/02/2023</w:t>
                  </w:r>
                </w:p>
              </w:tc>
              <w:tc>
                <w:tcPr>
                  <w:tcW w:w="1198" w:type="dxa"/>
                  <w:tcBorders>
                    <w:top w:val="nil"/>
                    <w:left w:val="nil"/>
                    <w:bottom w:val="single" w:sz="8" w:space="0" w:color="305496"/>
                    <w:right w:val="single" w:sz="8" w:space="0" w:color="305496"/>
                  </w:tcBorders>
                  <w:shd w:val="clear" w:color="000000" w:fill="FFFFFF"/>
                  <w:vAlign w:val="center"/>
                  <w:hideMark/>
                </w:tcPr>
                <w:p w14:paraId="109EFB84"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22/03/2023</w:t>
                  </w:r>
                </w:p>
              </w:tc>
              <w:tc>
                <w:tcPr>
                  <w:tcW w:w="1199" w:type="dxa"/>
                  <w:tcBorders>
                    <w:top w:val="nil"/>
                    <w:left w:val="nil"/>
                    <w:bottom w:val="single" w:sz="8" w:space="0" w:color="305496"/>
                    <w:right w:val="single" w:sz="8" w:space="0" w:color="305496"/>
                  </w:tcBorders>
                  <w:shd w:val="clear" w:color="000000" w:fill="FFFFFF"/>
                  <w:vAlign w:val="center"/>
                  <w:hideMark/>
                </w:tcPr>
                <w:p w14:paraId="3E239EBE"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4</w:t>
                  </w:r>
                </w:p>
              </w:tc>
              <w:tc>
                <w:tcPr>
                  <w:tcW w:w="1435" w:type="dxa"/>
                  <w:tcBorders>
                    <w:top w:val="nil"/>
                    <w:left w:val="nil"/>
                    <w:bottom w:val="single" w:sz="8" w:space="0" w:color="305496"/>
                    <w:right w:val="single" w:sz="8" w:space="0" w:color="305496"/>
                  </w:tcBorders>
                  <w:shd w:val="clear" w:color="000000" w:fill="FFFFFF"/>
                  <w:vAlign w:val="center"/>
                  <w:hideMark/>
                </w:tcPr>
                <w:p w14:paraId="778DA3CE"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3</w:t>
                  </w:r>
                </w:p>
              </w:tc>
            </w:tr>
            <w:tr w:rsidR="00033D09" w:rsidRPr="00033D09" w14:paraId="7A6A1251" w14:textId="77777777" w:rsidTr="00033D09">
              <w:trPr>
                <w:trHeight w:val="702"/>
                <w:jc w:val="center"/>
              </w:trPr>
              <w:tc>
                <w:tcPr>
                  <w:tcW w:w="1198" w:type="dxa"/>
                  <w:tcBorders>
                    <w:top w:val="nil"/>
                    <w:left w:val="single" w:sz="8" w:space="0" w:color="305496"/>
                    <w:bottom w:val="single" w:sz="8" w:space="0" w:color="305496"/>
                    <w:right w:val="single" w:sz="8" w:space="0" w:color="305496"/>
                  </w:tcBorders>
                  <w:shd w:val="clear" w:color="000000" w:fill="FFFFFF"/>
                  <w:vAlign w:val="center"/>
                  <w:hideMark/>
                </w:tcPr>
                <w:p w14:paraId="082EA032"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375</w:t>
                  </w:r>
                </w:p>
              </w:tc>
              <w:tc>
                <w:tcPr>
                  <w:tcW w:w="2072" w:type="dxa"/>
                  <w:tcBorders>
                    <w:top w:val="nil"/>
                    <w:left w:val="nil"/>
                    <w:bottom w:val="single" w:sz="8" w:space="0" w:color="305496"/>
                    <w:right w:val="single" w:sz="8" w:space="0" w:color="305496"/>
                  </w:tcBorders>
                  <w:shd w:val="clear" w:color="000000" w:fill="FFFFFF"/>
                  <w:vAlign w:val="center"/>
                  <w:hideMark/>
                </w:tcPr>
                <w:p w14:paraId="7FC456CE"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eastAsia="es-ES"/>
                    </w:rPr>
                    <w:t>SIG Proceso Interacción con el Ciudadano</w:t>
                  </w:r>
                </w:p>
              </w:tc>
              <w:tc>
                <w:tcPr>
                  <w:tcW w:w="1198" w:type="dxa"/>
                  <w:tcBorders>
                    <w:top w:val="nil"/>
                    <w:left w:val="nil"/>
                    <w:bottom w:val="single" w:sz="8" w:space="0" w:color="305496"/>
                    <w:right w:val="single" w:sz="8" w:space="0" w:color="305496"/>
                  </w:tcBorders>
                  <w:shd w:val="clear" w:color="000000" w:fill="FFFFFF"/>
                  <w:vAlign w:val="center"/>
                  <w:hideMark/>
                </w:tcPr>
                <w:p w14:paraId="2A432954"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06/03/2023</w:t>
                  </w:r>
                </w:p>
              </w:tc>
              <w:tc>
                <w:tcPr>
                  <w:tcW w:w="1198" w:type="dxa"/>
                  <w:tcBorders>
                    <w:top w:val="nil"/>
                    <w:left w:val="nil"/>
                    <w:bottom w:val="single" w:sz="8" w:space="0" w:color="305496"/>
                    <w:right w:val="single" w:sz="8" w:space="0" w:color="305496"/>
                  </w:tcBorders>
                  <w:shd w:val="clear" w:color="000000" w:fill="FFFFFF"/>
                  <w:vAlign w:val="center"/>
                  <w:hideMark/>
                </w:tcPr>
                <w:p w14:paraId="6D95452B"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02/05/2023</w:t>
                  </w:r>
                </w:p>
              </w:tc>
              <w:tc>
                <w:tcPr>
                  <w:tcW w:w="1199" w:type="dxa"/>
                  <w:tcBorders>
                    <w:top w:val="nil"/>
                    <w:left w:val="nil"/>
                    <w:bottom w:val="single" w:sz="8" w:space="0" w:color="305496"/>
                    <w:right w:val="single" w:sz="8" w:space="0" w:color="305496"/>
                  </w:tcBorders>
                  <w:shd w:val="clear" w:color="000000" w:fill="FFFFFF"/>
                  <w:vAlign w:val="center"/>
                  <w:hideMark/>
                </w:tcPr>
                <w:p w14:paraId="128B71AB"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3</w:t>
                  </w:r>
                </w:p>
              </w:tc>
              <w:tc>
                <w:tcPr>
                  <w:tcW w:w="1435" w:type="dxa"/>
                  <w:tcBorders>
                    <w:top w:val="nil"/>
                    <w:left w:val="nil"/>
                    <w:bottom w:val="single" w:sz="8" w:space="0" w:color="305496"/>
                    <w:right w:val="single" w:sz="8" w:space="0" w:color="305496"/>
                  </w:tcBorders>
                  <w:shd w:val="clear" w:color="000000" w:fill="FFFFFF"/>
                  <w:vAlign w:val="center"/>
                  <w:hideMark/>
                </w:tcPr>
                <w:p w14:paraId="0A946818"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0</w:t>
                  </w:r>
                </w:p>
              </w:tc>
            </w:tr>
            <w:tr w:rsidR="00033D09" w:rsidRPr="00033D09" w14:paraId="2FBDA36A" w14:textId="77777777" w:rsidTr="00033D09">
              <w:trPr>
                <w:trHeight w:val="702"/>
                <w:jc w:val="center"/>
              </w:trPr>
              <w:tc>
                <w:tcPr>
                  <w:tcW w:w="1198" w:type="dxa"/>
                  <w:tcBorders>
                    <w:top w:val="nil"/>
                    <w:left w:val="single" w:sz="8" w:space="0" w:color="305496"/>
                    <w:bottom w:val="single" w:sz="8" w:space="0" w:color="305496"/>
                    <w:right w:val="single" w:sz="8" w:space="0" w:color="305496"/>
                  </w:tcBorders>
                  <w:shd w:val="clear" w:color="000000" w:fill="FFFFFF"/>
                  <w:vAlign w:val="center"/>
                  <w:hideMark/>
                </w:tcPr>
                <w:p w14:paraId="524DB711"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376</w:t>
                  </w:r>
                </w:p>
              </w:tc>
              <w:tc>
                <w:tcPr>
                  <w:tcW w:w="2072" w:type="dxa"/>
                  <w:tcBorders>
                    <w:top w:val="nil"/>
                    <w:left w:val="nil"/>
                    <w:bottom w:val="single" w:sz="8" w:space="0" w:color="305496"/>
                    <w:right w:val="single" w:sz="8" w:space="0" w:color="305496"/>
                  </w:tcBorders>
                  <w:shd w:val="clear" w:color="000000" w:fill="FFFFFF"/>
                  <w:vAlign w:val="center"/>
                  <w:hideMark/>
                </w:tcPr>
                <w:p w14:paraId="0A74FAF2"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eastAsia="es-ES"/>
                    </w:rPr>
                    <w:t>SIG Proceso Gestión Talento Humano</w:t>
                  </w:r>
                </w:p>
              </w:tc>
              <w:tc>
                <w:tcPr>
                  <w:tcW w:w="1198" w:type="dxa"/>
                  <w:tcBorders>
                    <w:top w:val="nil"/>
                    <w:left w:val="nil"/>
                    <w:bottom w:val="single" w:sz="8" w:space="0" w:color="305496"/>
                    <w:right w:val="single" w:sz="8" w:space="0" w:color="305496"/>
                  </w:tcBorders>
                  <w:shd w:val="clear" w:color="000000" w:fill="FFFFFF"/>
                  <w:vAlign w:val="center"/>
                  <w:hideMark/>
                </w:tcPr>
                <w:p w14:paraId="44CBBB61"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06/02/2023</w:t>
                  </w:r>
                </w:p>
              </w:tc>
              <w:tc>
                <w:tcPr>
                  <w:tcW w:w="1198" w:type="dxa"/>
                  <w:tcBorders>
                    <w:top w:val="nil"/>
                    <w:left w:val="nil"/>
                    <w:bottom w:val="single" w:sz="8" w:space="0" w:color="305496"/>
                    <w:right w:val="single" w:sz="8" w:space="0" w:color="305496"/>
                  </w:tcBorders>
                  <w:shd w:val="clear" w:color="000000" w:fill="FFFFFF"/>
                  <w:vAlign w:val="center"/>
                  <w:hideMark/>
                </w:tcPr>
                <w:p w14:paraId="56E04B2F"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15/03/2023</w:t>
                  </w:r>
                </w:p>
              </w:tc>
              <w:tc>
                <w:tcPr>
                  <w:tcW w:w="1199" w:type="dxa"/>
                  <w:tcBorders>
                    <w:top w:val="nil"/>
                    <w:left w:val="nil"/>
                    <w:bottom w:val="single" w:sz="8" w:space="0" w:color="305496"/>
                    <w:right w:val="single" w:sz="8" w:space="0" w:color="305496"/>
                  </w:tcBorders>
                  <w:shd w:val="clear" w:color="000000" w:fill="FFFFFF"/>
                  <w:vAlign w:val="center"/>
                  <w:hideMark/>
                </w:tcPr>
                <w:p w14:paraId="75B126D5"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7</w:t>
                  </w:r>
                </w:p>
              </w:tc>
              <w:tc>
                <w:tcPr>
                  <w:tcW w:w="1435" w:type="dxa"/>
                  <w:tcBorders>
                    <w:top w:val="nil"/>
                    <w:left w:val="nil"/>
                    <w:bottom w:val="single" w:sz="8" w:space="0" w:color="305496"/>
                    <w:right w:val="single" w:sz="8" w:space="0" w:color="305496"/>
                  </w:tcBorders>
                  <w:shd w:val="clear" w:color="000000" w:fill="FFFFFF"/>
                  <w:vAlign w:val="center"/>
                  <w:hideMark/>
                </w:tcPr>
                <w:p w14:paraId="282BB4A3"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val="es-MX" w:eastAsia="es-ES"/>
                    </w:rPr>
                    <w:t>4</w:t>
                  </w:r>
                </w:p>
              </w:tc>
            </w:tr>
            <w:tr w:rsidR="00033D09" w:rsidRPr="00033D09" w14:paraId="2909A166" w14:textId="77777777" w:rsidTr="00033D09">
              <w:trPr>
                <w:trHeight w:val="702"/>
                <w:jc w:val="center"/>
              </w:trPr>
              <w:tc>
                <w:tcPr>
                  <w:tcW w:w="1198" w:type="dxa"/>
                  <w:tcBorders>
                    <w:top w:val="nil"/>
                    <w:left w:val="single" w:sz="8" w:space="0" w:color="305496"/>
                    <w:bottom w:val="single" w:sz="8" w:space="0" w:color="305496"/>
                    <w:right w:val="single" w:sz="8" w:space="0" w:color="305496"/>
                  </w:tcBorders>
                  <w:shd w:val="clear" w:color="000000" w:fill="FFFFFF"/>
                  <w:vAlign w:val="center"/>
                  <w:hideMark/>
                </w:tcPr>
                <w:p w14:paraId="1932D6F4" w14:textId="77777777" w:rsidR="00033D09" w:rsidRPr="00033D09" w:rsidRDefault="00033D09" w:rsidP="00033D09">
                  <w:pPr>
                    <w:autoSpaceDE/>
                    <w:autoSpaceDN/>
                    <w:adjustRightInd/>
                    <w:jc w:val="center"/>
                    <w:rPr>
                      <w:rFonts w:eastAsia="Times New Roman"/>
                      <w:b/>
                      <w:bCs/>
                      <w:sz w:val="16"/>
                      <w:szCs w:val="16"/>
                      <w:lang w:val="es-ES" w:eastAsia="es-ES"/>
                    </w:rPr>
                  </w:pPr>
                  <w:r w:rsidRPr="00033D09">
                    <w:rPr>
                      <w:rFonts w:eastAsia="Times New Roman"/>
                      <w:b/>
                      <w:bCs/>
                      <w:sz w:val="16"/>
                      <w:szCs w:val="16"/>
                      <w:lang w:val="es-MX" w:eastAsia="es-ES"/>
                    </w:rPr>
                    <w:t>377</w:t>
                  </w:r>
                </w:p>
              </w:tc>
              <w:tc>
                <w:tcPr>
                  <w:tcW w:w="2072" w:type="dxa"/>
                  <w:tcBorders>
                    <w:top w:val="nil"/>
                    <w:left w:val="nil"/>
                    <w:bottom w:val="single" w:sz="8" w:space="0" w:color="305496"/>
                    <w:right w:val="single" w:sz="8" w:space="0" w:color="305496"/>
                  </w:tcBorders>
                  <w:shd w:val="clear" w:color="000000" w:fill="FFFFFF"/>
                  <w:vAlign w:val="center"/>
                  <w:hideMark/>
                </w:tcPr>
                <w:p w14:paraId="4E6D0005" w14:textId="77777777" w:rsidR="00033D09" w:rsidRPr="00033D09" w:rsidRDefault="00033D09" w:rsidP="00033D09">
                  <w:pPr>
                    <w:autoSpaceDE/>
                    <w:autoSpaceDN/>
                    <w:adjustRightInd/>
                    <w:jc w:val="center"/>
                    <w:rPr>
                      <w:rFonts w:eastAsia="Times New Roman"/>
                      <w:sz w:val="16"/>
                      <w:szCs w:val="16"/>
                      <w:lang w:val="es-ES" w:eastAsia="es-ES"/>
                    </w:rPr>
                  </w:pPr>
                  <w:r w:rsidRPr="00033D09">
                    <w:rPr>
                      <w:rFonts w:eastAsia="Times New Roman"/>
                      <w:sz w:val="16"/>
                      <w:szCs w:val="16"/>
                      <w:lang w:eastAsia="es-ES"/>
                    </w:rPr>
                    <w:t>Proceso Planeación Institucional</w:t>
                  </w:r>
                </w:p>
              </w:tc>
              <w:tc>
                <w:tcPr>
                  <w:tcW w:w="1198" w:type="dxa"/>
                  <w:tcBorders>
                    <w:top w:val="nil"/>
                    <w:left w:val="nil"/>
                    <w:bottom w:val="single" w:sz="8" w:space="0" w:color="305496"/>
                    <w:right w:val="single" w:sz="8" w:space="0" w:color="305496"/>
                  </w:tcBorders>
                  <w:shd w:val="clear" w:color="000000" w:fill="FFFFFF"/>
                  <w:vAlign w:val="center"/>
                  <w:hideMark/>
                </w:tcPr>
                <w:p w14:paraId="46A68E31" w14:textId="77777777" w:rsidR="00033D09" w:rsidRPr="00033D09" w:rsidRDefault="00033D09" w:rsidP="00033D09">
                  <w:pPr>
                    <w:autoSpaceDE/>
                    <w:autoSpaceDN/>
                    <w:adjustRightInd/>
                    <w:jc w:val="center"/>
                    <w:rPr>
                      <w:rFonts w:eastAsia="Times New Roman"/>
                      <w:color w:val="auto"/>
                      <w:sz w:val="16"/>
                      <w:szCs w:val="16"/>
                      <w:lang w:val="es-ES" w:eastAsia="es-ES"/>
                    </w:rPr>
                  </w:pPr>
                  <w:r w:rsidRPr="00033D09">
                    <w:rPr>
                      <w:rFonts w:eastAsia="Times New Roman"/>
                      <w:color w:val="auto"/>
                      <w:sz w:val="16"/>
                      <w:szCs w:val="16"/>
                      <w:lang w:val="es-MX" w:eastAsia="es-ES"/>
                    </w:rPr>
                    <w:t>02/03/2023</w:t>
                  </w:r>
                </w:p>
              </w:tc>
              <w:tc>
                <w:tcPr>
                  <w:tcW w:w="1198" w:type="dxa"/>
                  <w:tcBorders>
                    <w:top w:val="nil"/>
                    <w:left w:val="nil"/>
                    <w:bottom w:val="single" w:sz="8" w:space="0" w:color="305496"/>
                    <w:right w:val="single" w:sz="8" w:space="0" w:color="305496"/>
                  </w:tcBorders>
                  <w:shd w:val="clear" w:color="000000" w:fill="FFFFFF"/>
                  <w:vAlign w:val="center"/>
                  <w:hideMark/>
                </w:tcPr>
                <w:p w14:paraId="7EA9C77D" w14:textId="77777777" w:rsidR="00033D09" w:rsidRPr="00033D09" w:rsidRDefault="00033D09" w:rsidP="00033D09">
                  <w:pPr>
                    <w:autoSpaceDE/>
                    <w:autoSpaceDN/>
                    <w:adjustRightInd/>
                    <w:jc w:val="center"/>
                    <w:rPr>
                      <w:rFonts w:eastAsia="Times New Roman"/>
                      <w:color w:val="auto"/>
                      <w:sz w:val="16"/>
                      <w:szCs w:val="16"/>
                      <w:lang w:val="es-ES" w:eastAsia="es-ES"/>
                    </w:rPr>
                  </w:pPr>
                  <w:r w:rsidRPr="00033D09">
                    <w:rPr>
                      <w:rFonts w:eastAsia="Times New Roman"/>
                      <w:color w:val="auto"/>
                      <w:sz w:val="16"/>
                      <w:szCs w:val="16"/>
                      <w:lang w:val="es-MX" w:eastAsia="es-ES"/>
                    </w:rPr>
                    <w:t>05/05/2023</w:t>
                  </w:r>
                </w:p>
              </w:tc>
              <w:tc>
                <w:tcPr>
                  <w:tcW w:w="1199" w:type="dxa"/>
                  <w:tcBorders>
                    <w:top w:val="nil"/>
                    <w:left w:val="nil"/>
                    <w:bottom w:val="single" w:sz="8" w:space="0" w:color="305496"/>
                    <w:right w:val="single" w:sz="8" w:space="0" w:color="305496"/>
                  </w:tcBorders>
                  <w:shd w:val="clear" w:color="000000" w:fill="FFFFFF"/>
                  <w:vAlign w:val="center"/>
                  <w:hideMark/>
                </w:tcPr>
                <w:p w14:paraId="5256F082" w14:textId="77777777" w:rsidR="00033D09" w:rsidRPr="00033D09" w:rsidRDefault="00033D09" w:rsidP="00033D09">
                  <w:pPr>
                    <w:autoSpaceDE/>
                    <w:autoSpaceDN/>
                    <w:adjustRightInd/>
                    <w:jc w:val="center"/>
                    <w:rPr>
                      <w:rFonts w:eastAsia="Times New Roman"/>
                      <w:color w:val="auto"/>
                      <w:sz w:val="16"/>
                      <w:szCs w:val="16"/>
                      <w:lang w:val="es-ES" w:eastAsia="es-ES"/>
                    </w:rPr>
                  </w:pPr>
                  <w:r w:rsidRPr="00033D09">
                    <w:rPr>
                      <w:rFonts w:eastAsia="Times New Roman"/>
                      <w:color w:val="auto"/>
                      <w:sz w:val="16"/>
                      <w:szCs w:val="16"/>
                      <w:lang w:val="es-MX" w:eastAsia="es-ES"/>
                    </w:rPr>
                    <w:t>4</w:t>
                  </w:r>
                </w:p>
              </w:tc>
              <w:tc>
                <w:tcPr>
                  <w:tcW w:w="1435" w:type="dxa"/>
                  <w:tcBorders>
                    <w:top w:val="nil"/>
                    <w:left w:val="nil"/>
                    <w:bottom w:val="single" w:sz="8" w:space="0" w:color="305496"/>
                    <w:right w:val="single" w:sz="8" w:space="0" w:color="305496"/>
                  </w:tcBorders>
                  <w:shd w:val="clear" w:color="000000" w:fill="FFFFFF"/>
                  <w:vAlign w:val="center"/>
                  <w:hideMark/>
                </w:tcPr>
                <w:p w14:paraId="6C558CDB" w14:textId="77777777" w:rsidR="00033D09" w:rsidRPr="00033D09" w:rsidRDefault="00033D09" w:rsidP="00033D09">
                  <w:pPr>
                    <w:autoSpaceDE/>
                    <w:autoSpaceDN/>
                    <w:adjustRightInd/>
                    <w:jc w:val="center"/>
                    <w:rPr>
                      <w:rFonts w:eastAsia="Times New Roman"/>
                      <w:color w:val="auto"/>
                      <w:sz w:val="16"/>
                      <w:szCs w:val="16"/>
                      <w:lang w:val="es-ES" w:eastAsia="es-ES"/>
                    </w:rPr>
                  </w:pPr>
                  <w:r w:rsidRPr="00033D09">
                    <w:rPr>
                      <w:rFonts w:eastAsia="Times New Roman"/>
                      <w:color w:val="auto"/>
                      <w:sz w:val="16"/>
                      <w:szCs w:val="16"/>
                      <w:lang w:val="es-MX" w:eastAsia="es-ES"/>
                    </w:rPr>
                    <w:t>1</w:t>
                  </w:r>
                </w:p>
              </w:tc>
            </w:tr>
          </w:tbl>
          <w:p w14:paraId="12FFC680" w14:textId="77777777" w:rsidR="00984FD4" w:rsidRDefault="00984FD4" w:rsidP="00595FC2">
            <w:pPr>
              <w:spacing w:line="360" w:lineRule="auto"/>
              <w:contextualSpacing/>
              <w:rPr>
                <w:lang w:val="es-MX"/>
              </w:rPr>
            </w:pPr>
          </w:p>
          <w:p w14:paraId="1E017BC4" w14:textId="1B5EA15D" w:rsidR="006E6B57" w:rsidRDefault="00011F41" w:rsidP="00595FC2">
            <w:pPr>
              <w:spacing w:line="360" w:lineRule="auto"/>
              <w:contextualSpacing/>
            </w:pPr>
            <w:r>
              <w:t>A</w:t>
            </w:r>
            <w:r w:rsidRPr="008813D9">
              <w:t xml:space="preserve"> continuación, se presenta</w:t>
            </w:r>
            <w:r>
              <w:t xml:space="preserve"> la descripción del hallazgo y oportunidad de mejora</w:t>
            </w:r>
            <w:r w:rsidRPr="008813D9">
              <w:t xml:space="preserve"> </w:t>
            </w:r>
            <w:r>
              <w:t xml:space="preserve">identificados </w:t>
            </w:r>
            <w:r w:rsidRPr="008813D9">
              <w:t>en los procesos evaluados</w:t>
            </w:r>
            <w:r>
              <w:t>, así como las recomendaciones generadas por la Oficina de Control Interno:</w:t>
            </w:r>
          </w:p>
          <w:p w14:paraId="45C31A8E" w14:textId="77777777" w:rsidR="00F56EF7" w:rsidRDefault="00F56EF7" w:rsidP="00595FC2">
            <w:pPr>
              <w:spacing w:line="360" w:lineRule="auto"/>
              <w:contextualSpacing/>
            </w:pPr>
          </w:p>
          <w:p w14:paraId="2D95E9F9" w14:textId="77777777" w:rsidR="00F56EF7" w:rsidRDefault="00F56EF7" w:rsidP="00595FC2">
            <w:pPr>
              <w:spacing w:line="360" w:lineRule="auto"/>
              <w:contextualSpacing/>
            </w:pPr>
          </w:p>
          <w:tbl>
            <w:tblPr>
              <w:tblW w:w="9060" w:type="dxa"/>
              <w:jc w:val="center"/>
              <w:tblCellMar>
                <w:left w:w="70" w:type="dxa"/>
                <w:right w:w="70" w:type="dxa"/>
              </w:tblCellMar>
              <w:tblLook w:val="04A0" w:firstRow="1" w:lastRow="0" w:firstColumn="1" w:lastColumn="0" w:noHBand="0" w:noVBand="1"/>
            </w:tblPr>
            <w:tblGrid>
              <w:gridCol w:w="229"/>
              <w:gridCol w:w="8831"/>
            </w:tblGrid>
            <w:tr w:rsidR="00DB1FC7" w:rsidRPr="00DB1FC7" w14:paraId="6F4ECFAD" w14:textId="77777777" w:rsidTr="00DB1FC7">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0B524C89"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MX" w:eastAsia="es-ES"/>
                    </w:rPr>
                    <w:t>No. 374 Gestión Jurídica</w:t>
                  </w:r>
                </w:p>
              </w:tc>
            </w:tr>
            <w:tr w:rsidR="00DB1FC7" w:rsidRPr="00DB1FC7" w14:paraId="40DE4975" w14:textId="77777777" w:rsidTr="00DB1FC7">
              <w:trPr>
                <w:trHeight w:val="31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3D820A9F"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MX" w:eastAsia="es-ES"/>
                    </w:rPr>
                    <w:t>Hallazgos</w:t>
                  </w:r>
                </w:p>
              </w:tc>
            </w:tr>
            <w:tr w:rsidR="00DB1FC7" w:rsidRPr="00DB1FC7" w14:paraId="0E3168FC" w14:textId="77777777" w:rsidTr="00033D09">
              <w:trPr>
                <w:trHeight w:val="1830"/>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2AB4E339"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1</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787DD3C0" w14:textId="7760E578" w:rsidR="00DB1FC7" w:rsidRPr="00DB1FC7" w:rsidRDefault="00DB1FC7" w:rsidP="00DB1FC7">
                  <w:pPr>
                    <w:autoSpaceDE/>
                    <w:autoSpaceDN/>
                    <w:adjustRightInd/>
                    <w:jc w:val="center"/>
                    <w:rPr>
                      <w:rFonts w:eastAsia="Times New Roman"/>
                      <w:sz w:val="16"/>
                      <w:szCs w:val="16"/>
                      <w:lang w:val="es-ES" w:eastAsia="es-ES"/>
                    </w:rPr>
                  </w:pPr>
                  <w:r w:rsidRPr="00DB1FC7">
                    <w:rPr>
                      <w:rFonts w:eastAsia="Times New Roman"/>
                      <w:b/>
                      <w:bCs/>
                      <w:sz w:val="16"/>
                      <w:szCs w:val="16"/>
                      <w:lang w:val="es-ES" w:eastAsia="es-ES"/>
                    </w:rPr>
                    <w:t>Norma ISO 9001:2015 en el numeral 8.4.1 y en el numeral 6.1.1 literal c) y d)</w:t>
                  </w:r>
                  <w:r w:rsidRPr="00DB1FC7">
                    <w:rPr>
                      <w:rFonts w:eastAsia="Times New Roman"/>
                      <w:sz w:val="16"/>
                      <w:szCs w:val="16"/>
                      <w:lang w:val="es-ES" w:eastAsia="es-ES"/>
                    </w:rPr>
                    <w:t xml:space="preserve"> </w:t>
                  </w:r>
                  <w:r w:rsidRPr="00DB1FC7">
                    <w:rPr>
                      <w:rFonts w:eastAsia="Times New Roman"/>
                      <w:sz w:val="16"/>
                      <w:szCs w:val="16"/>
                      <w:lang w:val="es-ES" w:eastAsia="es-ES"/>
                    </w:rPr>
                    <w:br/>
                    <w:t xml:space="preserve">En siete (7) solicitudes de conceptos 1-2022006206, 1-2022-009630, 1-2022-009956, 1-2022-020193, 1-2022-027640, 1-2022-022643, 1-2022-023637 de la muestra seleccionada y de trece (13) solicitudes reportadas por el proceso en los seguimientos a los riesgos de gestión correspondientes a los cuatro (4) trimestres de 2022 con números de radicado (1-2022-01681, 1-2022-007625, 1-2022-009630, 1-2022-011010, 1-2022-011161, 1-2022-011099, 1-2022-014107, 1-2022-014531 y 1-2022-015057, 1-2022-015721, 1-2022-017992, 1-2022-023158, 1-2022-025749) se observa que se superó el término para dar respuesta establecido en el ítem (ii) del artículo 5 del Decreto 491 de 2020. </w:t>
                  </w:r>
                  <w:r w:rsidRPr="00DB1FC7">
                    <w:rPr>
                      <w:rFonts w:eastAsia="Times New Roman"/>
                      <w:b/>
                      <w:bCs/>
                      <w:sz w:val="16"/>
                      <w:szCs w:val="16"/>
                      <w:lang w:val="es-ES" w:eastAsia="es-ES"/>
                    </w:rPr>
                    <w:t>(...)</w:t>
                  </w:r>
                </w:p>
              </w:tc>
            </w:tr>
            <w:tr w:rsidR="00DB1FC7" w:rsidRPr="00DB1FC7" w14:paraId="251F3567" w14:textId="77777777" w:rsidTr="00033D09">
              <w:trPr>
                <w:trHeight w:val="600"/>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18954552"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2</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31910FFD" w14:textId="77777777" w:rsidR="00DB1FC7" w:rsidRPr="00DB1FC7" w:rsidRDefault="00DB1FC7" w:rsidP="00DB1FC7">
                  <w:pPr>
                    <w:autoSpaceDE/>
                    <w:autoSpaceDN/>
                    <w:adjustRightInd/>
                    <w:jc w:val="center"/>
                    <w:rPr>
                      <w:rFonts w:eastAsia="Times New Roman"/>
                      <w:sz w:val="16"/>
                      <w:szCs w:val="16"/>
                      <w:lang w:val="es-ES" w:eastAsia="es-ES"/>
                    </w:rPr>
                  </w:pPr>
                  <w:r w:rsidRPr="00DB1FC7">
                    <w:rPr>
                      <w:rFonts w:eastAsia="Times New Roman"/>
                      <w:b/>
                      <w:bCs/>
                      <w:sz w:val="16"/>
                      <w:szCs w:val="16"/>
                      <w:lang w:val="es-ES" w:eastAsia="es-ES"/>
                    </w:rPr>
                    <w:t>Norma NTC ISO 9001:2015 en el numeral 8.5.4</w:t>
                  </w:r>
                  <w:r w:rsidRPr="00DB1FC7">
                    <w:rPr>
                      <w:rFonts w:eastAsia="Times New Roman"/>
                      <w:sz w:val="16"/>
                      <w:szCs w:val="16"/>
                      <w:lang w:val="es-ES" w:eastAsia="es-ES"/>
                    </w:rPr>
                    <w:t xml:space="preserve"> </w:t>
                  </w:r>
                  <w:r w:rsidRPr="00DB1FC7">
                    <w:rPr>
                      <w:rFonts w:eastAsia="Times New Roman"/>
                      <w:sz w:val="16"/>
                      <w:szCs w:val="16"/>
                      <w:lang w:val="es-ES" w:eastAsia="es-ES"/>
                    </w:rPr>
                    <w:br/>
                    <w:t xml:space="preserve">Se evidencia ausencia de archivo de documentos </w:t>
                  </w:r>
                  <w:r w:rsidRPr="00DB1FC7">
                    <w:rPr>
                      <w:rFonts w:eastAsia="Times New Roman"/>
                      <w:b/>
                      <w:bCs/>
                      <w:sz w:val="16"/>
                      <w:szCs w:val="16"/>
                      <w:lang w:val="es-ES" w:eastAsia="es-ES"/>
                    </w:rPr>
                    <w:t>(…)</w:t>
                  </w:r>
                </w:p>
              </w:tc>
            </w:tr>
            <w:tr w:rsidR="00DB1FC7" w:rsidRPr="00DB1FC7" w14:paraId="5771A9B3" w14:textId="77777777" w:rsidTr="00033D09">
              <w:trPr>
                <w:trHeight w:val="600"/>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395077C0"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3</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5F0ED797"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Norma NTC ISO 9001:2015 en el numeral 7.1.5.2</w:t>
                  </w:r>
                  <w:r w:rsidRPr="00DB1FC7">
                    <w:rPr>
                      <w:rFonts w:eastAsia="Times New Roman"/>
                      <w:sz w:val="16"/>
                      <w:szCs w:val="16"/>
                      <w:lang w:val="es-ES" w:eastAsia="es-ES"/>
                    </w:rPr>
                    <w:br/>
                    <w:t xml:space="preserve">Resultado de la verificación de los indicadores de gestión del proceso de Gestión Jurídica </w:t>
                  </w:r>
                  <w:r w:rsidRPr="00DB1FC7">
                    <w:rPr>
                      <w:rFonts w:eastAsia="Times New Roman"/>
                      <w:b/>
                      <w:bCs/>
                      <w:sz w:val="16"/>
                      <w:szCs w:val="16"/>
                      <w:lang w:val="es-ES" w:eastAsia="es-ES"/>
                    </w:rPr>
                    <w:t>(…)</w:t>
                  </w:r>
                </w:p>
              </w:tc>
            </w:tr>
            <w:tr w:rsidR="00DB1FC7" w:rsidRPr="00DB1FC7" w14:paraId="72A5DE36" w14:textId="77777777" w:rsidTr="00033D09">
              <w:trPr>
                <w:trHeight w:val="762"/>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3E881CCE"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4</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06C5F071" w14:textId="29D9E491"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Norma NTC ISO 9001:2015 en el numeral 7.1.5.1: literal b</w:t>
                  </w:r>
                  <w:r w:rsidRPr="00DB1FC7">
                    <w:rPr>
                      <w:rFonts w:eastAsia="Times New Roman"/>
                      <w:sz w:val="16"/>
                      <w:szCs w:val="16"/>
                      <w:lang w:val="es-ES" w:eastAsia="es-ES"/>
                    </w:rPr>
                    <w:br/>
                    <w:t xml:space="preserve">Resultado de la verificación del plan de mejoramiento del proceso de Gestión Jurídica (…) </w:t>
                  </w:r>
                  <w:r w:rsidRPr="00DB1FC7">
                    <w:rPr>
                      <w:rFonts w:eastAsia="Times New Roman"/>
                      <w:b/>
                      <w:bCs/>
                      <w:sz w:val="16"/>
                      <w:szCs w:val="16"/>
                      <w:lang w:val="es-ES" w:eastAsia="es-ES"/>
                    </w:rPr>
                    <w:t>Oportunidad de mejora 772: Abierta y vencidas las actividades el 29-jul-2022 y 31-ago-22 (…)</w:t>
                  </w:r>
                </w:p>
              </w:tc>
            </w:tr>
            <w:tr w:rsidR="00DB1FC7" w:rsidRPr="00DB1FC7" w14:paraId="2F160AF7" w14:textId="77777777" w:rsidTr="00DB1FC7">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04AC28A"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Oportunidad de mejora</w:t>
                  </w:r>
                </w:p>
              </w:tc>
            </w:tr>
            <w:tr w:rsidR="00DB1FC7" w:rsidRPr="00DB1FC7" w14:paraId="4B2665DF" w14:textId="77777777" w:rsidTr="00033D09">
              <w:trPr>
                <w:trHeight w:val="762"/>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7BAF6F9B"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1</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14599143"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Norma NTC ISO 9001:2015 en el numeral 8.1. literal d):</w:t>
                  </w:r>
                  <w:r w:rsidRPr="00DB1FC7">
                    <w:rPr>
                      <w:rFonts w:eastAsia="Times New Roman"/>
                      <w:b/>
                      <w:bCs/>
                      <w:sz w:val="16"/>
                      <w:szCs w:val="16"/>
                      <w:lang w:val="es-ES" w:eastAsia="es-ES"/>
                    </w:rPr>
                    <w:br/>
                  </w:r>
                  <w:r w:rsidRPr="00DB1FC7">
                    <w:rPr>
                      <w:rFonts w:eastAsia="Times New Roman"/>
                      <w:sz w:val="16"/>
                      <w:szCs w:val="16"/>
                      <w:lang w:val="es-ES" w:eastAsia="es-ES"/>
                    </w:rPr>
                    <w:t xml:space="preserve">En la verificación de los lineamientos normativos internos para adelantar los procedimientos normativos internos para adelantar los procedimientos Etapa Persuasiva del Cobro Coactivo y Etapa Coactiva </w:t>
                  </w:r>
                  <w:r w:rsidRPr="00DB1FC7">
                    <w:rPr>
                      <w:rFonts w:eastAsia="Times New Roman"/>
                      <w:b/>
                      <w:bCs/>
                      <w:sz w:val="16"/>
                      <w:szCs w:val="16"/>
                      <w:lang w:val="es-ES" w:eastAsia="es-ES"/>
                    </w:rPr>
                    <w:t>(...)</w:t>
                  </w:r>
                </w:p>
              </w:tc>
            </w:tr>
            <w:tr w:rsidR="00DB1FC7" w:rsidRPr="00DB1FC7" w14:paraId="4DF6EC4D" w14:textId="77777777" w:rsidTr="00033D09">
              <w:trPr>
                <w:trHeight w:val="960"/>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1B1EEE23"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2</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0CA26B31" w14:textId="5B9CFF44"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Norma NTC 9001:2015 en el numeral 4.4.1. literal c):</w:t>
                  </w:r>
                  <w:r w:rsidRPr="00DB1FC7">
                    <w:rPr>
                      <w:rFonts w:eastAsia="Times New Roman"/>
                      <w:b/>
                      <w:bCs/>
                      <w:sz w:val="16"/>
                      <w:szCs w:val="16"/>
                      <w:lang w:val="es-ES" w:eastAsia="es-ES"/>
                    </w:rPr>
                    <w:br/>
                  </w:r>
                  <w:r w:rsidRPr="00DB1FC7">
                    <w:rPr>
                      <w:rFonts w:eastAsia="Times New Roman"/>
                      <w:sz w:val="16"/>
                      <w:szCs w:val="16"/>
                      <w:lang w:val="es-ES" w:eastAsia="es-ES"/>
                    </w:rPr>
                    <w:t xml:space="preserve">Se hace necesario adelantar la actualización de la siguiente información en el sistema Ekogui Desactivación de los procesos identificados así ID 1511677 y 1515548, que actualmente se encuentran activos en la plataforma Ekogui, teniendo en cuenta que ya están terminados </w:t>
                  </w:r>
                  <w:r w:rsidRPr="00DB1FC7">
                    <w:rPr>
                      <w:rFonts w:eastAsia="Times New Roman"/>
                      <w:b/>
                      <w:bCs/>
                      <w:sz w:val="16"/>
                      <w:szCs w:val="16"/>
                      <w:lang w:val="es-ES" w:eastAsia="es-ES"/>
                    </w:rPr>
                    <w:t>(...)</w:t>
                  </w:r>
                </w:p>
              </w:tc>
            </w:tr>
            <w:tr w:rsidR="00DB1FC7" w:rsidRPr="00DB1FC7" w14:paraId="0898BC77" w14:textId="77777777" w:rsidTr="00033D09">
              <w:trPr>
                <w:trHeight w:val="1399"/>
                <w:jc w:val="center"/>
              </w:trPr>
              <w:tc>
                <w:tcPr>
                  <w:tcW w:w="229" w:type="dxa"/>
                  <w:tcBorders>
                    <w:top w:val="nil"/>
                    <w:left w:val="single" w:sz="8" w:space="0" w:color="305496"/>
                    <w:bottom w:val="single" w:sz="8" w:space="0" w:color="305496"/>
                    <w:right w:val="single" w:sz="8" w:space="0" w:color="305496"/>
                  </w:tcBorders>
                  <w:shd w:val="clear" w:color="000000" w:fill="FFFFFF"/>
                  <w:noWrap/>
                  <w:vAlign w:val="center"/>
                  <w:hideMark/>
                </w:tcPr>
                <w:p w14:paraId="14D413FA"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3</w:t>
                  </w:r>
                </w:p>
              </w:tc>
              <w:tc>
                <w:tcPr>
                  <w:tcW w:w="8831" w:type="dxa"/>
                  <w:tcBorders>
                    <w:top w:val="single" w:sz="8" w:space="0" w:color="305496"/>
                    <w:left w:val="nil"/>
                    <w:bottom w:val="single" w:sz="8" w:space="0" w:color="305496"/>
                    <w:right w:val="single" w:sz="8" w:space="0" w:color="305496"/>
                  </w:tcBorders>
                  <w:shd w:val="clear" w:color="000000" w:fill="FFFFFF"/>
                  <w:vAlign w:val="center"/>
                  <w:hideMark/>
                </w:tcPr>
                <w:p w14:paraId="270F14AB" w14:textId="4E9B6F9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Norma NCT ISO 9001:2015 en el numeral 5.3: literal b</w:t>
                  </w:r>
                  <w:r w:rsidRPr="00DB1FC7">
                    <w:rPr>
                      <w:rFonts w:eastAsia="Times New Roman"/>
                      <w:b/>
                      <w:bCs/>
                      <w:sz w:val="16"/>
                      <w:szCs w:val="16"/>
                      <w:lang w:val="es-ES" w:eastAsia="es-ES"/>
                    </w:rPr>
                    <w:br/>
                  </w:r>
                  <w:r w:rsidRPr="00DB1FC7">
                    <w:rPr>
                      <w:rFonts w:eastAsia="Times New Roman"/>
                      <w:sz w:val="16"/>
                      <w:szCs w:val="16"/>
                      <w:lang w:val="es-ES" w:eastAsia="es-ES"/>
                    </w:rPr>
                    <w:t xml:space="preserve">En la verificación del seguimiento y control a procesos judiciales se evidencia que no se remitieron dentro del tiempo estipulado al Grupo de Gestión Financiera los siguientes informes mensuales </w:t>
                  </w:r>
                  <w:r w:rsidRPr="00DB1FC7">
                    <w:rPr>
                      <w:rFonts w:eastAsia="Times New Roman"/>
                      <w:b/>
                      <w:bCs/>
                      <w:sz w:val="16"/>
                      <w:szCs w:val="16"/>
                      <w:lang w:val="es-ES" w:eastAsia="es-ES"/>
                    </w:rPr>
                    <w:t>(El del mes de enero se remiti</w:t>
                  </w:r>
                  <w:r w:rsidR="004D39F4">
                    <w:rPr>
                      <w:rFonts w:eastAsia="Times New Roman"/>
                      <w:b/>
                      <w:bCs/>
                      <w:sz w:val="16"/>
                      <w:szCs w:val="16"/>
                      <w:lang w:val="es-ES" w:eastAsia="es-ES"/>
                    </w:rPr>
                    <w:t>ero</w:t>
                  </w:r>
                  <w:r w:rsidRPr="00DB1FC7">
                    <w:rPr>
                      <w:rFonts w:eastAsia="Times New Roman"/>
                      <w:b/>
                      <w:bCs/>
                      <w:sz w:val="16"/>
                      <w:szCs w:val="16"/>
                      <w:lang w:val="es-ES" w:eastAsia="es-ES"/>
                    </w:rPr>
                    <w:t>n el 15 de febrero, el del mes de marzo se remitió el 21 de abril, el del mes de octubre de remitió el 15 de noviembre y el del mes de diciembre el 11 de enero del 2023)</w:t>
                  </w:r>
                  <w:r w:rsidRPr="00DB1FC7">
                    <w:rPr>
                      <w:rFonts w:eastAsia="Times New Roman"/>
                      <w:sz w:val="16"/>
                      <w:szCs w:val="16"/>
                      <w:lang w:val="es-ES" w:eastAsia="es-ES"/>
                    </w:rPr>
                    <w:t xml:space="preserve">, se observa que se incumplió lo dispuesto en el procedimiento PR-GJU-4 numeral 5 condiciones de las actividades. </w:t>
                  </w:r>
                  <w:r w:rsidRPr="00DB1FC7">
                    <w:rPr>
                      <w:rFonts w:eastAsia="Times New Roman"/>
                      <w:b/>
                      <w:bCs/>
                      <w:sz w:val="16"/>
                      <w:szCs w:val="16"/>
                      <w:lang w:val="es-ES" w:eastAsia="es-ES"/>
                    </w:rPr>
                    <w:t>(...)</w:t>
                  </w:r>
                </w:p>
              </w:tc>
            </w:tr>
            <w:tr w:rsidR="00DB1FC7" w:rsidRPr="00DB1FC7" w14:paraId="450A0B36" w14:textId="77777777" w:rsidTr="00DB1FC7">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6682DAA0" w14:textId="77777777" w:rsidR="00DB1FC7" w:rsidRPr="00DB1FC7" w:rsidRDefault="00DB1FC7" w:rsidP="00DB1FC7">
                  <w:pPr>
                    <w:autoSpaceDE/>
                    <w:autoSpaceDN/>
                    <w:adjustRightInd/>
                    <w:jc w:val="center"/>
                    <w:rPr>
                      <w:rFonts w:eastAsia="Times New Roman"/>
                      <w:b/>
                      <w:bCs/>
                      <w:sz w:val="16"/>
                      <w:szCs w:val="16"/>
                      <w:lang w:val="es-ES" w:eastAsia="es-ES"/>
                    </w:rPr>
                  </w:pPr>
                  <w:r w:rsidRPr="00DB1FC7">
                    <w:rPr>
                      <w:rFonts w:eastAsia="Times New Roman"/>
                      <w:b/>
                      <w:bCs/>
                      <w:sz w:val="16"/>
                      <w:szCs w:val="16"/>
                      <w:lang w:val="es-ES" w:eastAsia="es-ES"/>
                    </w:rPr>
                    <w:t>Recomendaciones OCI</w:t>
                  </w:r>
                </w:p>
              </w:tc>
            </w:tr>
            <w:tr w:rsidR="00DB1FC7" w:rsidRPr="00DB1FC7" w14:paraId="5EA48B27" w14:textId="77777777" w:rsidTr="00DB1FC7">
              <w:trPr>
                <w:trHeight w:val="702"/>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2D5CDD5A" w14:textId="77777777" w:rsidR="00DB1FC7" w:rsidRPr="00DB1FC7" w:rsidRDefault="00DB1FC7" w:rsidP="00DB1FC7">
                  <w:pPr>
                    <w:autoSpaceDE/>
                    <w:autoSpaceDN/>
                    <w:adjustRightInd/>
                    <w:jc w:val="center"/>
                    <w:rPr>
                      <w:rFonts w:eastAsia="Times New Roman"/>
                      <w:sz w:val="16"/>
                      <w:szCs w:val="16"/>
                      <w:lang w:val="es-ES" w:eastAsia="es-ES"/>
                    </w:rPr>
                  </w:pPr>
                  <w:r w:rsidRPr="00DB1FC7">
                    <w:rPr>
                      <w:rFonts w:eastAsia="Times New Roman"/>
                      <w:sz w:val="16"/>
                      <w:szCs w:val="16"/>
                      <w:lang w:val="es-ES" w:eastAsia="es-ES"/>
                    </w:rPr>
                    <w:t>Es importante que las recomendaciones identificadas en la presente auditoría las cuales se presentan en el desarrollo del informe sean revisadas y analizadas por el proceso, con el propósito de determinar los aspectos a mejorar y se les realice seguimiento.</w:t>
                  </w:r>
                </w:p>
              </w:tc>
            </w:tr>
            <w:tr w:rsidR="00DB1FC7" w:rsidRPr="00DB1FC7" w14:paraId="3844722E" w14:textId="77777777" w:rsidTr="00DB1FC7">
              <w:trPr>
                <w:trHeight w:val="162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697B3F9E" w14:textId="7052F7F0" w:rsidR="00DB1FC7" w:rsidRPr="00DB1FC7" w:rsidRDefault="00DB1FC7" w:rsidP="00DB1FC7">
                  <w:pPr>
                    <w:autoSpaceDE/>
                    <w:autoSpaceDN/>
                    <w:adjustRightInd/>
                    <w:jc w:val="center"/>
                    <w:rPr>
                      <w:rFonts w:eastAsia="Times New Roman"/>
                      <w:sz w:val="16"/>
                      <w:szCs w:val="16"/>
                      <w:lang w:val="es-ES" w:eastAsia="es-ES"/>
                    </w:rPr>
                  </w:pPr>
                  <w:r w:rsidRPr="00DB1FC7">
                    <w:rPr>
                      <w:rFonts w:eastAsia="Times New Roman"/>
                      <w:sz w:val="16"/>
                      <w:szCs w:val="16"/>
                      <w:lang w:val="es-ES" w:eastAsia="es-ES"/>
                    </w:rPr>
                    <w:t xml:space="preserve">La Oficina de Control Interno recomienda suscribir plan de </w:t>
                  </w:r>
                  <w:r w:rsidR="006E29C6" w:rsidRPr="00DB1FC7">
                    <w:rPr>
                      <w:rFonts w:eastAsia="Times New Roman"/>
                      <w:sz w:val="16"/>
                      <w:szCs w:val="16"/>
                      <w:lang w:val="es-ES" w:eastAsia="es-ES"/>
                    </w:rPr>
                    <w:t>mejoramiento</w:t>
                  </w:r>
                  <w:r w:rsidRPr="00DB1FC7">
                    <w:rPr>
                      <w:rFonts w:eastAsia="Times New Roman"/>
                      <w:sz w:val="16"/>
                      <w:szCs w:val="16"/>
                      <w:lang w:val="es-ES" w:eastAsia="es-ES"/>
                    </w:rPr>
                    <w:t xml:space="preserve"> dentro de las quince (15) días hábiles siguientes al recibo del informe definitivo por medio de comunicación interna. Se recomienda cumplir con los mismos, teniendo en cuenta que el objetivo primordial de estos es promover que los procesos internos de la entidad se </w:t>
                  </w:r>
                  <w:r w:rsidR="006E29C6" w:rsidRPr="00DB1FC7">
                    <w:rPr>
                      <w:rFonts w:eastAsia="Times New Roman"/>
                      <w:sz w:val="16"/>
                      <w:szCs w:val="16"/>
                      <w:lang w:val="es-ES" w:eastAsia="es-ES"/>
                    </w:rPr>
                    <w:t>desarrollan</w:t>
                  </w:r>
                  <w:r w:rsidRPr="00DB1FC7">
                    <w:rPr>
                      <w:rFonts w:eastAsia="Times New Roman"/>
                      <w:sz w:val="16"/>
                      <w:szCs w:val="16"/>
                      <w:lang w:val="es-ES" w:eastAsia="es-ES"/>
                    </w:rPr>
                    <w:t xml:space="preserve"> en forma eficiente y transparente a través de la adopción y cumplimiento de las acciones implementadas orientadas al mejoramiento continuo que fortalezcan el desempeño misional y </w:t>
                  </w:r>
                  <w:r w:rsidR="0062696D" w:rsidRPr="00DB1FC7">
                    <w:rPr>
                      <w:rFonts w:eastAsia="Times New Roman"/>
                      <w:sz w:val="16"/>
                      <w:szCs w:val="16"/>
                      <w:lang w:val="es-ES" w:eastAsia="es-ES"/>
                    </w:rPr>
                    <w:t>cumplimiento</w:t>
                  </w:r>
                  <w:r w:rsidRPr="00DB1FC7">
                    <w:rPr>
                      <w:rFonts w:eastAsia="Times New Roman"/>
                      <w:sz w:val="16"/>
                      <w:szCs w:val="16"/>
                      <w:lang w:val="es-ES" w:eastAsia="es-ES"/>
                    </w:rPr>
                    <w:t xml:space="preserve"> de los objetivos institucionales. Por </w:t>
                  </w:r>
                  <w:r w:rsidR="0062696D" w:rsidRPr="00DB1FC7">
                    <w:rPr>
                      <w:rFonts w:eastAsia="Times New Roman"/>
                      <w:sz w:val="16"/>
                      <w:szCs w:val="16"/>
                      <w:lang w:val="es-ES" w:eastAsia="es-ES"/>
                    </w:rPr>
                    <w:t>tanto,</w:t>
                  </w:r>
                  <w:r w:rsidRPr="00DB1FC7">
                    <w:rPr>
                      <w:rFonts w:eastAsia="Times New Roman"/>
                      <w:sz w:val="16"/>
                      <w:szCs w:val="16"/>
                      <w:lang w:val="es-ES" w:eastAsia="es-ES"/>
                    </w:rPr>
                    <w:t xml:space="preserve"> esta Oficina realizará el seguimiento a las acciones que se implementen en relación con las observaciones efectuadas en el presente informe.</w:t>
                  </w:r>
                </w:p>
              </w:tc>
            </w:tr>
          </w:tbl>
          <w:p w14:paraId="310FA1E5" w14:textId="77777777" w:rsidR="00DB1FC7" w:rsidRPr="00DB1FC7" w:rsidRDefault="00DB1FC7" w:rsidP="00595FC2">
            <w:pPr>
              <w:spacing w:line="360" w:lineRule="auto"/>
              <w:contextualSpacing/>
              <w:rPr>
                <w:lang w:val="es-ES"/>
              </w:rPr>
            </w:pPr>
          </w:p>
          <w:p w14:paraId="0ADE89F6" w14:textId="77777777" w:rsidR="00011F41" w:rsidRDefault="00011F41" w:rsidP="00595FC2">
            <w:pPr>
              <w:contextualSpacing/>
            </w:pPr>
          </w:p>
          <w:tbl>
            <w:tblPr>
              <w:tblW w:w="9060" w:type="dxa"/>
              <w:tblCellMar>
                <w:left w:w="70" w:type="dxa"/>
                <w:right w:w="70" w:type="dxa"/>
              </w:tblCellMar>
              <w:tblLook w:val="04A0" w:firstRow="1" w:lastRow="0" w:firstColumn="1" w:lastColumn="0" w:noHBand="0" w:noVBand="1"/>
            </w:tblPr>
            <w:tblGrid>
              <w:gridCol w:w="500"/>
              <w:gridCol w:w="8560"/>
            </w:tblGrid>
            <w:tr w:rsidR="008C13C7" w:rsidRPr="008C13C7" w14:paraId="177F39C1" w14:textId="77777777" w:rsidTr="008C13C7">
              <w:trPr>
                <w:trHeight w:val="300"/>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CAD82CA"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MX" w:eastAsia="es-ES"/>
                    </w:rPr>
                    <w:t>No. 375 SIG Proceso Interacción con el Ciudadano</w:t>
                  </w:r>
                </w:p>
              </w:tc>
            </w:tr>
            <w:tr w:rsidR="008C13C7" w:rsidRPr="008C13C7" w14:paraId="10B1F58D" w14:textId="77777777" w:rsidTr="008C13C7">
              <w:trPr>
                <w:trHeight w:val="315"/>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06D767B3"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MX" w:eastAsia="es-ES"/>
                    </w:rPr>
                    <w:t>Hallazgos</w:t>
                  </w:r>
                </w:p>
              </w:tc>
            </w:tr>
            <w:tr w:rsidR="008C13C7" w:rsidRPr="008C13C7" w14:paraId="79BFA611" w14:textId="77777777" w:rsidTr="008C13C7">
              <w:trPr>
                <w:trHeight w:val="1602"/>
              </w:trPr>
              <w:tc>
                <w:tcPr>
                  <w:tcW w:w="500" w:type="dxa"/>
                  <w:tcBorders>
                    <w:top w:val="nil"/>
                    <w:left w:val="single" w:sz="8" w:space="0" w:color="305496"/>
                    <w:bottom w:val="single" w:sz="8" w:space="0" w:color="305496"/>
                    <w:right w:val="single" w:sz="8" w:space="0" w:color="305496"/>
                  </w:tcBorders>
                  <w:shd w:val="clear" w:color="000000" w:fill="FFFFFF"/>
                  <w:noWrap/>
                  <w:vAlign w:val="center"/>
                  <w:hideMark/>
                </w:tcPr>
                <w:p w14:paraId="1625EC8E"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1</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47F0BE41" w14:textId="17A8FE22" w:rsidR="008C13C7" w:rsidRPr="008C13C7" w:rsidRDefault="007103EE" w:rsidP="008C13C7">
                  <w:pPr>
                    <w:autoSpaceDE/>
                    <w:autoSpaceDN/>
                    <w:adjustRightInd/>
                    <w:jc w:val="center"/>
                    <w:rPr>
                      <w:rFonts w:eastAsia="Times New Roman"/>
                      <w:sz w:val="16"/>
                      <w:szCs w:val="16"/>
                      <w:lang w:val="es-ES" w:eastAsia="es-ES"/>
                    </w:rPr>
                  </w:pPr>
                  <w:r w:rsidRPr="008C13C7">
                    <w:rPr>
                      <w:rFonts w:eastAsia="Times New Roman"/>
                      <w:b/>
                      <w:bCs/>
                      <w:sz w:val="16"/>
                      <w:szCs w:val="16"/>
                      <w:lang w:val="es-ES" w:eastAsia="es-ES"/>
                    </w:rPr>
                    <w:t>Incumplimiento</w:t>
                  </w:r>
                  <w:r w:rsidR="008C13C7" w:rsidRPr="008C13C7">
                    <w:rPr>
                      <w:rFonts w:eastAsia="Times New Roman"/>
                      <w:b/>
                      <w:bCs/>
                      <w:sz w:val="16"/>
                      <w:szCs w:val="16"/>
                      <w:lang w:val="es-ES" w:eastAsia="es-ES"/>
                    </w:rPr>
                    <w:t xml:space="preserve"> Norma ISO 9001:2015 en el numeral 7.5 Información documentada</w:t>
                  </w:r>
                  <w:r w:rsidR="008C13C7" w:rsidRPr="008C13C7">
                    <w:rPr>
                      <w:rFonts w:eastAsia="Times New Roman"/>
                      <w:sz w:val="16"/>
                      <w:szCs w:val="16"/>
                      <w:lang w:val="es-ES" w:eastAsia="es-ES"/>
                    </w:rPr>
                    <w:t xml:space="preserve"> </w:t>
                  </w:r>
                  <w:r w:rsidR="008C13C7" w:rsidRPr="008C13C7">
                    <w:rPr>
                      <w:rFonts w:eastAsia="Times New Roman"/>
                      <w:sz w:val="16"/>
                      <w:szCs w:val="16"/>
                      <w:lang w:val="es-ES" w:eastAsia="es-ES"/>
                    </w:rPr>
                    <w:br/>
                    <w:t xml:space="preserve">De acuerdo a los informes de canales de atención para el segundo, tercer y cuarto trimestres se puede evidenciar que hay datos internos que al pasar al cuadro de consolidación de cuarto trimestre las cifras no coinciden o no corresponden, de la misma manera se presentó en los informes de medición del segundo </w:t>
                  </w:r>
                  <w:r w:rsidR="00A5494D" w:rsidRPr="008C13C7">
                    <w:rPr>
                      <w:rFonts w:eastAsia="Times New Roman"/>
                      <w:sz w:val="16"/>
                      <w:szCs w:val="16"/>
                      <w:lang w:val="es-ES" w:eastAsia="es-ES"/>
                    </w:rPr>
                    <w:t>tercer</w:t>
                  </w:r>
                  <w:r w:rsidR="008C13C7" w:rsidRPr="008C13C7">
                    <w:rPr>
                      <w:rFonts w:eastAsia="Times New Roman"/>
                      <w:sz w:val="16"/>
                      <w:szCs w:val="16"/>
                      <w:lang w:val="es-ES" w:eastAsia="es-ES"/>
                    </w:rPr>
                    <w:t xml:space="preserve"> y cuarto </w:t>
                  </w:r>
                  <w:r w:rsidR="00A5494D" w:rsidRPr="008C13C7">
                    <w:rPr>
                      <w:rFonts w:eastAsia="Times New Roman"/>
                      <w:sz w:val="16"/>
                      <w:szCs w:val="16"/>
                      <w:lang w:val="es-ES" w:eastAsia="es-ES"/>
                    </w:rPr>
                    <w:t>trimestre</w:t>
                  </w:r>
                  <w:r w:rsidR="008C13C7" w:rsidRPr="008C13C7">
                    <w:rPr>
                      <w:rFonts w:eastAsia="Times New Roman"/>
                      <w:sz w:val="16"/>
                      <w:szCs w:val="16"/>
                      <w:lang w:val="es-ES" w:eastAsia="es-ES"/>
                    </w:rPr>
                    <w:t xml:space="preserve"> en donde se dejó reflejado la información de los % y de las mismas cifras como se pudo evidenciar en este informe. Página 14, 28. </w:t>
                  </w:r>
                  <w:r w:rsidR="008C13C7" w:rsidRPr="008C13C7">
                    <w:rPr>
                      <w:rFonts w:eastAsia="Times New Roman"/>
                      <w:b/>
                      <w:bCs/>
                      <w:sz w:val="16"/>
                      <w:szCs w:val="16"/>
                      <w:lang w:val="es-ES" w:eastAsia="es-ES"/>
                    </w:rPr>
                    <w:t>(...)</w:t>
                  </w:r>
                </w:p>
              </w:tc>
            </w:tr>
            <w:tr w:rsidR="008C13C7" w:rsidRPr="008C13C7" w14:paraId="1BD4D60F" w14:textId="77777777" w:rsidTr="008C13C7">
              <w:trPr>
                <w:trHeight w:val="1002"/>
              </w:trPr>
              <w:tc>
                <w:tcPr>
                  <w:tcW w:w="500" w:type="dxa"/>
                  <w:tcBorders>
                    <w:top w:val="nil"/>
                    <w:left w:val="single" w:sz="8" w:space="0" w:color="305496"/>
                    <w:bottom w:val="single" w:sz="8" w:space="0" w:color="305496"/>
                    <w:right w:val="single" w:sz="8" w:space="0" w:color="305496"/>
                  </w:tcBorders>
                  <w:shd w:val="clear" w:color="000000" w:fill="FFFFFF"/>
                  <w:noWrap/>
                  <w:vAlign w:val="center"/>
                  <w:hideMark/>
                </w:tcPr>
                <w:p w14:paraId="4852CDF1"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2</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2BB36274" w14:textId="585025A7"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b/>
                      <w:bCs/>
                      <w:sz w:val="16"/>
                      <w:szCs w:val="16"/>
                      <w:lang w:val="es-ES" w:eastAsia="es-ES"/>
                    </w:rPr>
                    <w:t>Norma NTC ISO 9001:2015 en el numeral 8.4.1</w:t>
                  </w:r>
                  <w:r w:rsidRPr="008C13C7">
                    <w:rPr>
                      <w:rFonts w:eastAsia="Times New Roman"/>
                      <w:sz w:val="16"/>
                      <w:szCs w:val="16"/>
                      <w:lang w:val="es-ES" w:eastAsia="es-ES"/>
                    </w:rPr>
                    <w:t xml:space="preserve"> </w:t>
                  </w:r>
                  <w:r w:rsidRPr="008C13C7">
                    <w:rPr>
                      <w:rFonts w:eastAsia="Times New Roman"/>
                      <w:sz w:val="16"/>
                      <w:szCs w:val="16"/>
                      <w:lang w:val="es-ES" w:eastAsia="es-ES"/>
                    </w:rPr>
                    <w:br/>
                    <w:t xml:space="preserve">Control de los procesos, productos y servicios. En diez y ocho (18) solicitudes de PGRSF se observa que se superó el término para dar respuesta según lo establecido en los </w:t>
                  </w:r>
                  <w:r w:rsidR="00A5494D" w:rsidRPr="008C13C7">
                    <w:rPr>
                      <w:rFonts w:eastAsia="Times New Roman"/>
                      <w:sz w:val="16"/>
                      <w:szCs w:val="16"/>
                      <w:lang w:val="es-ES" w:eastAsia="es-ES"/>
                    </w:rPr>
                    <w:t>términos</w:t>
                  </w:r>
                  <w:r w:rsidRPr="008C13C7">
                    <w:rPr>
                      <w:rFonts w:eastAsia="Times New Roman"/>
                      <w:sz w:val="16"/>
                      <w:szCs w:val="16"/>
                      <w:lang w:val="es-ES" w:eastAsia="es-ES"/>
                    </w:rPr>
                    <w:t xml:space="preserve"> señalados en el artículo 14 de la ley 1437 de 2011 (...) para los </w:t>
                  </w:r>
                  <w:r w:rsidR="00A5494D" w:rsidRPr="008C13C7">
                    <w:rPr>
                      <w:rFonts w:eastAsia="Times New Roman"/>
                      <w:sz w:val="16"/>
                      <w:szCs w:val="16"/>
                      <w:lang w:val="es-ES" w:eastAsia="es-ES"/>
                    </w:rPr>
                    <w:t>siguientes</w:t>
                  </w:r>
                  <w:r w:rsidRPr="008C13C7">
                    <w:rPr>
                      <w:rFonts w:eastAsia="Times New Roman"/>
                      <w:sz w:val="16"/>
                      <w:szCs w:val="16"/>
                      <w:lang w:val="es-ES" w:eastAsia="es-ES"/>
                    </w:rPr>
                    <w:t xml:space="preserve"> expedientes </w:t>
                  </w:r>
                  <w:r w:rsidRPr="008C13C7">
                    <w:rPr>
                      <w:rFonts w:eastAsia="Times New Roman"/>
                      <w:b/>
                      <w:bCs/>
                      <w:sz w:val="16"/>
                      <w:szCs w:val="16"/>
                      <w:lang w:val="es-ES" w:eastAsia="es-ES"/>
                    </w:rPr>
                    <w:t>(…)</w:t>
                  </w:r>
                </w:p>
              </w:tc>
            </w:tr>
            <w:tr w:rsidR="008C13C7" w:rsidRPr="008C13C7" w14:paraId="4DAED1B4" w14:textId="77777777" w:rsidTr="008C13C7">
              <w:trPr>
                <w:trHeight w:val="2550"/>
              </w:trPr>
              <w:tc>
                <w:tcPr>
                  <w:tcW w:w="500" w:type="dxa"/>
                  <w:tcBorders>
                    <w:top w:val="nil"/>
                    <w:left w:val="single" w:sz="8" w:space="0" w:color="305496"/>
                    <w:bottom w:val="single" w:sz="8" w:space="0" w:color="305496"/>
                    <w:right w:val="single" w:sz="8" w:space="0" w:color="305496"/>
                  </w:tcBorders>
                  <w:shd w:val="clear" w:color="000000" w:fill="FFFFFF"/>
                  <w:noWrap/>
                  <w:vAlign w:val="center"/>
                  <w:hideMark/>
                </w:tcPr>
                <w:p w14:paraId="4F24AFBA"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3</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4D7647D7" w14:textId="34D33BB3"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Norma NTC ISO 9001:2015 en el numeral 7.1.3 Infraestructura</w:t>
                  </w:r>
                  <w:r w:rsidRPr="008C13C7">
                    <w:rPr>
                      <w:rFonts w:eastAsia="Times New Roman"/>
                      <w:sz w:val="16"/>
                      <w:szCs w:val="16"/>
                      <w:lang w:val="es-ES" w:eastAsia="es-ES"/>
                    </w:rPr>
                    <w:br/>
                    <w:t xml:space="preserve">"La información debe determinar, proporcionar y mantener la infraestructura necesaria para la operación de sus procesos y lograr la conformidad de los productos y servicios. B) Equipo, incluyendo hardware" De acuerdo a la información suministrada durante esta auditoría y como se encuentra registrado en la sección de transparencia 10.11 Informes de peticiones, quejas, reclamos, denuncias y solicitudes de acceso a la información de la página web, informes de PQRS e informes de Satisfacción del (III) y (IV) Trimestre del 2022 y del Primer Trimestre del 2023, que los Kioskos o buzones virtuales ubicados en las 10 cajas de compensación familiar y del informe presentado </w:t>
                  </w:r>
                  <w:r w:rsidRPr="008C13C7">
                    <w:rPr>
                      <w:rFonts w:eastAsia="Times New Roman"/>
                      <w:sz w:val="16"/>
                      <w:szCs w:val="16"/>
                      <w:lang w:val="es-ES" w:eastAsia="es-ES"/>
                    </w:rPr>
                    <w:br/>
                    <w:t xml:space="preserve">por el proceso el día 28 de abril en donde los "kioskos" desde el mes de mayo de 2022 están reportando fallas </w:t>
                  </w:r>
                  <w:r w:rsidRPr="008C13C7">
                    <w:rPr>
                      <w:rFonts w:eastAsia="Times New Roman"/>
                      <w:sz w:val="16"/>
                      <w:szCs w:val="16"/>
                      <w:lang w:val="es-ES" w:eastAsia="es-ES"/>
                    </w:rPr>
                    <w:br/>
                    <w:t xml:space="preserve">y de acuerdo a la respuesta dada sobre el estado actual estos siguen sin estar habilitados o en operación y al servicio de la ciudadanía después de haberse realizado la mejora en el software que se realizó en el mes de diciembre del 2022 </w:t>
                  </w:r>
                  <w:r w:rsidRPr="008C13C7">
                    <w:rPr>
                      <w:rFonts w:eastAsia="Times New Roman"/>
                      <w:b/>
                      <w:bCs/>
                      <w:sz w:val="16"/>
                      <w:szCs w:val="16"/>
                      <w:lang w:val="es-ES" w:eastAsia="es-ES"/>
                    </w:rPr>
                    <w:t>(…)</w:t>
                  </w:r>
                </w:p>
              </w:tc>
            </w:tr>
            <w:tr w:rsidR="008C13C7" w:rsidRPr="008C13C7" w14:paraId="628AA548" w14:textId="77777777" w:rsidTr="008C13C7">
              <w:trPr>
                <w:trHeight w:val="300"/>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46AFD4FC"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Recomendaciones OCI</w:t>
                  </w:r>
                </w:p>
              </w:tc>
            </w:tr>
            <w:tr w:rsidR="008C13C7" w:rsidRPr="008C13C7" w14:paraId="65110527" w14:textId="77777777" w:rsidTr="008C13C7">
              <w:trPr>
                <w:trHeight w:val="1050"/>
              </w:trPr>
              <w:tc>
                <w:tcPr>
                  <w:tcW w:w="500" w:type="dxa"/>
                  <w:tcBorders>
                    <w:top w:val="nil"/>
                    <w:left w:val="single" w:sz="8" w:space="0" w:color="305496"/>
                    <w:bottom w:val="single" w:sz="8" w:space="0" w:color="305496"/>
                    <w:right w:val="single" w:sz="8" w:space="0" w:color="305496"/>
                  </w:tcBorders>
                  <w:shd w:val="clear" w:color="000000" w:fill="FFFFFF"/>
                  <w:vAlign w:val="bottom"/>
                  <w:hideMark/>
                </w:tcPr>
                <w:p w14:paraId="7BF39DE9"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1</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4BFDDCEB" w14:textId="77777777"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sz w:val="16"/>
                      <w:szCs w:val="16"/>
                      <w:lang w:val="es-ES" w:eastAsia="es-ES"/>
                    </w:rPr>
                    <w:t>Se recomienda que OPU en conjunto con el proceso de Gestión de Sistemas de Información realicen periódicamente una evaluación y pruebas a los casos creados en GLPI de los problemas o errores en Esigna-módulo PQRSF, Página Web de la SSF, Chat,  a fin de mantener la mayor disponibilidad de los servicios de infraestructura que está dispuesto a los ciudadanos.</w:t>
                  </w:r>
                </w:p>
              </w:tc>
            </w:tr>
            <w:tr w:rsidR="008C13C7" w:rsidRPr="008C13C7" w14:paraId="2E6F9326" w14:textId="77777777" w:rsidTr="008C13C7">
              <w:trPr>
                <w:trHeight w:val="465"/>
              </w:trPr>
              <w:tc>
                <w:tcPr>
                  <w:tcW w:w="500" w:type="dxa"/>
                  <w:tcBorders>
                    <w:top w:val="nil"/>
                    <w:left w:val="single" w:sz="8" w:space="0" w:color="305496"/>
                    <w:bottom w:val="single" w:sz="8" w:space="0" w:color="305496"/>
                    <w:right w:val="single" w:sz="8" w:space="0" w:color="305496"/>
                  </w:tcBorders>
                  <w:shd w:val="clear" w:color="000000" w:fill="FFFFFF"/>
                  <w:vAlign w:val="bottom"/>
                  <w:hideMark/>
                </w:tcPr>
                <w:p w14:paraId="58FF8494"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2</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5D8E12AE" w14:textId="77777777"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sz w:val="16"/>
                      <w:szCs w:val="16"/>
                      <w:lang w:val="es-ES" w:eastAsia="es-ES"/>
                    </w:rPr>
                    <w:t>Se recomienda que en los planes de mejora, seguimientos a los indicadores y planes de acción se incluyan las evidencias documentales.</w:t>
                  </w:r>
                </w:p>
              </w:tc>
            </w:tr>
            <w:tr w:rsidR="008C13C7" w:rsidRPr="008C13C7" w14:paraId="63DD32E4" w14:textId="77777777" w:rsidTr="008C13C7">
              <w:trPr>
                <w:trHeight w:val="1035"/>
              </w:trPr>
              <w:tc>
                <w:tcPr>
                  <w:tcW w:w="500" w:type="dxa"/>
                  <w:tcBorders>
                    <w:top w:val="nil"/>
                    <w:left w:val="single" w:sz="8" w:space="0" w:color="305496"/>
                    <w:bottom w:val="single" w:sz="8" w:space="0" w:color="305496"/>
                    <w:right w:val="single" w:sz="8" w:space="0" w:color="305496"/>
                  </w:tcBorders>
                  <w:shd w:val="clear" w:color="000000" w:fill="FFFFFF"/>
                  <w:noWrap/>
                  <w:vAlign w:val="center"/>
                  <w:hideMark/>
                </w:tcPr>
                <w:p w14:paraId="096CEEE7"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3</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3315BC15" w14:textId="4F043DC6"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sz w:val="16"/>
                      <w:szCs w:val="16"/>
                      <w:lang w:val="es-ES" w:eastAsia="es-ES"/>
                    </w:rPr>
                    <w:br/>
                    <w:t xml:space="preserve">Se recomienda tomar las medidas pertinentes con la herramienta que se utilice para el trámite de PQRSF y traslados, ya que se evidencia que en esta actividad muchas de las áreas no identifican los traslados, no los encuentran o no llegan a su destino, para realizar el trámite correspondiente, en términos de ley. </w:t>
                  </w:r>
                  <w:r w:rsidRPr="008C13C7">
                    <w:rPr>
                      <w:rFonts w:eastAsia="Times New Roman"/>
                      <w:sz w:val="16"/>
                      <w:szCs w:val="16"/>
                      <w:lang w:val="es-ES" w:eastAsia="es-ES"/>
                    </w:rPr>
                    <w:br/>
                  </w:r>
                  <w:r w:rsidRPr="008C13C7">
                    <w:rPr>
                      <w:rFonts w:eastAsia="Times New Roman"/>
                      <w:sz w:val="16"/>
                      <w:szCs w:val="16"/>
                      <w:lang w:val="es-ES" w:eastAsia="es-ES"/>
                    </w:rPr>
                    <w:br/>
                    <w:t>Los responsables o líderes de los procesos deben fortalecer el control y seguimiento de las peticiones que ingresan a su dependencia y realizar monitoreo a las personas designadas para proyectar las respuestas, con el fin que las peticiones se contesten dentro de los términos de ley pertinentes y se lleve la trazabilidad correspondiente, para evitar el incumplimiento en términos de respuestas a las PQRSF y por consiguiente evitar la materialización de los riesgos como está definido en la matriz de riesgos  indicados en el proceso.</w:t>
                  </w:r>
                </w:p>
              </w:tc>
            </w:tr>
            <w:tr w:rsidR="008C13C7" w:rsidRPr="008C13C7" w14:paraId="4696B270" w14:textId="77777777" w:rsidTr="008C13C7">
              <w:trPr>
                <w:trHeight w:val="1410"/>
              </w:trPr>
              <w:tc>
                <w:tcPr>
                  <w:tcW w:w="500" w:type="dxa"/>
                  <w:tcBorders>
                    <w:top w:val="nil"/>
                    <w:left w:val="single" w:sz="8" w:space="0" w:color="305496"/>
                    <w:bottom w:val="single" w:sz="8" w:space="0" w:color="305496"/>
                    <w:right w:val="single" w:sz="8" w:space="0" w:color="305496"/>
                  </w:tcBorders>
                  <w:shd w:val="clear" w:color="000000" w:fill="FFFFFF"/>
                  <w:vAlign w:val="center"/>
                  <w:hideMark/>
                </w:tcPr>
                <w:p w14:paraId="37F636AF"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t>4</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7B9CB9F4" w14:textId="77777777"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sz w:val="16"/>
                      <w:szCs w:val="16"/>
                      <w:lang w:val="es-ES" w:eastAsia="es-ES"/>
                    </w:rPr>
                    <w:t xml:space="preserve">Es importante recomendar que, en los informes realizados por el área, tener mucha precaución al momento de </w:t>
                  </w:r>
                  <w:r w:rsidRPr="008C13C7">
                    <w:rPr>
                      <w:rFonts w:eastAsia="Times New Roman"/>
                      <w:sz w:val="16"/>
                      <w:szCs w:val="16"/>
                      <w:lang w:val="es-ES" w:eastAsia="es-ES"/>
                    </w:rPr>
                    <w:br/>
                    <w:t>diligenciar la información y al subirla a la página Web, puesto que esta información busca facilitar el correcto cumplimiento de protocolos de atención en la entidad, considerando la necesidad de integrar los diferentes canales con los que se cuenta, y además, es un insumo importante para la toma de decisiones de manera eficaz.  Así mismo, al realizar observaciones en los informes que realiza   el área, de acuerdo a la ley 1712 de 2014 de transparencia y acceso a la información.</w:t>
                  </w:r>
                </w:p>
              </w:tc>
            </w:tr>
            <w:tr w:rsidR="008C13C7" w:rsidRPr="008C13C7" w14:paraId="5C82B44D" w14:textId="77777777" w:rsidTr="008C13C7">
              <w:trPr>
                <w:trHeight w:val="1650"/>
              </w:trPr>
              <w:tc>
                <w:tcPr>
                  <w:tcW w:w="500" w:type="dxa"/>
                  <w:tcBorders>
                    <w:top w:val="nil"/>
                    <w:left w:val="single" w:sz="8" w:space="0" w:color="305496"/>
                    <w:bottom w:val="single" w:sz="8" w:space="0" w:color="305496"/>
                    <w:right w:val="single" w:sz="8" w:space="0" w:color="305496"/>
                  </w:tcBorders>
                  <w:shd w:val="clear" w:color="000000" w:fill="FFFFFF"/>
                  <w:vAlign w:val="center"/>
                  <w:hideMark/>
                </w:tcPr>
                <w:p w14:paraId="1E4842A3" w14:textId="77777777" w:rsidR="008C13C7" w:rsidRPr="008C13C7" w:rsidRDefault="008C13C7" w:rsidP="008C13C7">
                  <w:pPr>
                    <w:autoSpaceDE/>
                    <w:autoSpaceDN/>
                    <w:adjustRightInd/>
                    <w:jc w:val="center"/>
                    <w:rPr>
                      <w:rFonts w:eastAsia="Times New Roman"/>
                      <w:b/>
                      <w:bCs/>
                      <w:sz w:val="16"/>
                      <w:szCs w:val="16"/>
                      <w:lang w:val="es-ES" w:eastAsia="es-ES"/>
                    </w:rPr>
                  </w:pPr>
                  <w:r w:rsidRPr="008C13C7">
                    <w:rPr>
                      <w:rFonts w:eastAsia="Times New Roman"/>
                      <w:b/>
                      <w:bCs/>
                      <w:sz w:val="16"/>
                      <w:szCs w:val="16"/>
                      <w:lang w:val="es-ES" w:eastAsia="es-ES"/>
                    </w:rPr>
                    <w:lastRenderedPageBreak/>
                    <w:t>5</w:t>
                  </w:r>
                </w:p>
              </w:tc>
              <w:tc>
                <w:tcPr>
                  <w:tcW w:w="8560" w:type="dxa"/>
                  <w:tcBorders>
                    <w:top w:val="single" w:sz="8" w:space="0" w:color="305496"/>
                    <w:left w:val="nil"/>
                    <w:bottom w:val="single" w:sz="8" w:space="0" w:color="305496"/>
                    <w:right w:val="single" w:sz="8" w:space="0" w:color="305496"/>
                  </w:tcBorders>
                  <w:shd w:val="clear" w:color="000000" w:fill="FFFFFF"/>
                  <w:vAlign w:val="center"/>
                  <w:hideMark/>
                </w:tcPr>
                <w:p w14:paraId="553139C9" w14:textId="77777777" w:rsidR="008C13C7" w:rsidRPr="008C13C7" w:rsidRDefault="008C13C7" w:rsidP="008C13C7">
                  <w:pPr>
                    <w:autoSpaceDE/>
                    <w:autoSpaceDN/>
                    <w:adjustRightInd/>
                    <w:jc w:val="center"/>
                    <w:rPr>
                      <w:rFonts w:eastAsia="Times New Roman"/>
                      <w:sz w:val="16"/>
                      <w:szCs w:val="16"/>
                      <w:lang w:val="es-ES" w:eastAsia="es-ES"/>
                    </w:rPr>
                  </w:pPr>
                  <w:r w:rsidRPr="008C13C7">
                    <w:rPr>
                      <w:rFonts w:eastAsia="Times New Roman"/>
                      <w:sz w:val="16"/>
                      <w:szCs w:val="16"/>
                      <w:lang w:val="es-ES" w:eastAsia="es-ES"/>
                    </w:rPr>
                    <w:t>suscribir plan de mejoramiento que incluya los temas que ameritan adoptar acciones correctivas y preventivas dentro de los quince (15) días hábiles siguientes al recibo del informe definitivo.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32FDEB90" w14:textId="77777777" w:rsidR="00011F41" w:rsidRPr="008C13C7" w:rsidRDefault="00011F41" w:rsidP="00595FC2">
            <w:pPr>
              <w:contextualSpacing/>
              <w:rPr>
                <w:lang w:val="es-ES"/>
              </w:rPr>
            </w:pPr>
          </w:p>
          <w:p w14:paraId="76F2A2C5" w14:textId="77777777" w:rsidR="007C6A10" w:rsidRDefault="007C6A10" w:rsidP="00595FC2">
            <w:pPr>
              <w:contextualSpacing/>
              <w:rPr>
                <w:lang w:val="es-ES"/>
              </w:rPr>
            </w:pPr>
          </w:p>
          <w:tbl>
            <w:tblPr>
              <w:tblW w:w="9060" w:type="dxa"/>
              <w:jc w:val="center"/>
              <w:tblCellMar>
                <w:left w:w="70" w:type="dxa"/>
                <w:right w:w="70" w:type="dxa"/>
              </w:tblCellMar>
              <w:tblLook w:val="04A0" w:firstRow="1" w:lastRow="0" w:firstColumn="1" w:lastColumn="0" w:noHBand="0" w:noVBand="1"/>
            </w:tblPr>
            <w:tblGrid>
              <w:gridCol w:w="229"/>
              <w:gridCol w:w="8831"/>
            </w:tblGrid>
            <w:tr w:rsidR="00AF4481" w:rsidRPr="00AF4481" w14:paraId="44484A89" w14:textId="77777777" w:rsidTr="00AF4481">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7B77676"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MX" w:eastAsia="es-ES"/>
                    </w:rPr>
                    <w:t>No. 376 SIG Proceso Gestión Talento Humano</w:t>
                  </w:r>
                </w:p>
              </w:tc>
            </w:tr>
            <w:tr w:rsidR="00AF4481" w:rsidRPr="00AF4481" w14:paraId="19204B1A" w14:textId="77777777" w:rsidTr="00AF4481">
              <w:trPr>
                <w:trHeight w:val="31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460300E"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MX" w:eastAsia="es-ES"/>
                    </w:rPr>
                    <w:t>Hallazgos</w:t>
                  </w:r>
                </w:p>
              </w:tc>
            </w:tr>
            <w:tr w:rsidR="00AF4481" w:rsidRPr="00AF4481" w14:paraId="2DA3B1C0" w14:textId="77777777" w:rsidTr="00AF4481">
              <w:trPr>
                <w:trHeight w:val="142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06EDD8E6"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1</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6DA6A8B9"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b/>
                      <w:bCs/>
                      <w:sz w:val="16"/>
                      <w:szCs w:val="16"/>
                      <w:lang w:val="es-ES" w:eastAsia="es-ES"/>
                    </w:rPr>
                    <w:t>Incumplimiento norma NTCGP ISO 9001:2015: En su numeral 10.2.1  (...)</w:t>
                  </w:r>
                  <w:r w:rsidRPr="00AF4481">
                    <w:rPr>
                      <w:rFonts w:eastAsia="Times New Roman"/>
                      <w:sz w:val="16"/>
                      <w:szCs w:val="16"/>
                      <w:lang w:val="es-ES" w:eastAsia="es-ES"/>
                    </w:rPr>
                    <w:t xml:space="preserve"> </w:t>
                  </w:r>
                  <w:r w:rsidRPr="00AF4481">
                    <w:rPr>
                      <w:rFonts w:eastAsia="Times New Roman"/>
                      <w:sz w:val="16"/>
                      <w:szCs w:val="16"/>
                      <w:lang w:val="es-ES" w:eastAsia="es-ES"/>
                    </w:rPr>
                    <w:br/>
                    <w:t xml:space="preserve">Se reitera que basado en el hallazgo No.819 de la auditoría realizada en el año 2022 y en el desarrollo de la presente auditoria las actividades desarrolladas no fueron efectivas para subsanar y poner al servicio las diferentes funcionalidades de la herramienta para generar y poder realizar las consultas que fueron contratadas al proveedor Novasoft y que están plasmadas en su oferta comercial desde el contrato No 126 de 2019  </w:t>
                  </w:r>
                  <w:r w:rsidRPr="00AF4481">
                    <w:rPr>
                      <w:rFonts w:eastAsia="Times New Roman"/>
                      <w:b/>
                      <w:bCs/>
                      <w:sz w:val="16"/>
                      <w:szCs w:val="16"/>
                      <w:lang w:val="es-ES" w:eastAsia="es-ES"/>
                    </w:rPr>
                    <w:t>(...)</w:t>
                  </w:r>
                </w:p>
              </w:tc>
            </w:tr>
            <w:tr w:rsidR="00AF4481" w:rsidRPr="00AF4481" w14:paraId="2A446435" w14:textId="77777777" w:rsidTr="00AF4481">
              <w:trPr>
                <w:trHeight w:val="100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7BE6E5FE"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2</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641239E8" w14:textId="6EEC38D2"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b/>
                      <w:bCs/>
                      <w:sz w:val="16"/>
                      <w:szCs w:val="16"/>
                      <w:lang w:val="es-ES" w:eastAsia="es-ES"/>
                    </w:rPr>
                    <w:t>Incumplimiento norma NTCGP ISO 9001:2015: En su numeral 10.2.1 (…)</w:t>
                  </w:r>
                  <w:r w:rsidRPr="00AF4481">
                    <w:rPr>
                      <w:rFonts w:eastAsia="Times New Roman"/>
                      <w:sz w:val="16"/>
                      <w:szCs w:val="16"/>
                      <w:lang w:val="es-ES" w:eastAsia="es-ES"/>
                    </w:rPr>
                    <w:t xml:space="preserve"> </w:t>
                  </w:r>
                  <w:r w:rsidRPr="00AF4481">
                    <w:rPr>
                      <w:rFonts w:eastAsia="Times New Roman"/>
                      <w:sz w:val="16"/>
                      <w:szCs w:val="16"/>
                      <w:lang w:val="es-ES" w:eastAsia="es-ES"/>
                    </w:rPr>
                    <w:br/>
                    <w:t xml:space="preserve">Se reitera el incumplimiento sobre el hallazgo No.817 de la auditoría realizada en el año 2022 y en el desarrollo de la presente auditoria las actividades desarrolladas no fueron efectivas para </w:t>
                  </w:r>
                  <w:r w:rsidR="007103EE" w:rsidRPr="00AF4481">
                    <w:rPr>
                      <w:rFonts w:eastAsia="Times New Roman"/>
                      <w:sz w:val="16"/>
                      <w:szCs w:val="16"/>
                      <w:lang w:val="es-ES" w:eastAsia="es-ES"/>
                    </w:rPr>
                    <w:t>subsanar (</w:t>
                  </w:r>
                  <w:r w:rsidRPr="00AF4481">
                    <w:rPr>
                      <w:rFonts w:eastAsia="Times New Roman"/>
                      <w:b/>
                      <w:bCs/>
                      <w:sz w:val="16"/>
                      <w:szCs w:val="16"/>
                      <w:lang w:val="es-ES" w:eastAsia="es-ES"/>
                    </w:rPr>
                    <w:t>…)</w:t>
                  </w:r>
                </w:p>
              </w:tc>
            </w:tr>
            <w:tr w:rsidR="00AF4481" w:rsidRPr="00AF4481" w14:paraId="70F7816F" w14:textId="77777777" w:rsidTr="00AF4481">
              <w:trPr>
                <w:trHeight w:val="162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1CC50073"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3</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4CAF0249"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Incumplimiento norma NTCGP ISO 9001:2015: En su numeral 4.4.2 literal a). (…)</w:t>
                  </w:r>
                  <w:r w:rsidRPr="00AF4481">
                    <w:rPr>
                      <w:rFonts w:eastAsia="Times New Roman"/>
                      <w:sz w:val="16"/>
                      <w:szCs w:val="16"/>
                      <w:lang w:val="es-ES" w:eastAsia="es-ES"/>
                    </w:rPr>
                    <w:br/>
                    <w:t>En cumplimiento con la Circular Externa N° 100 – 07 – 2015 - DAFP, referente a los Programas de Inducción y Reinducción, se evidencia que para la vigencia del año 2022 la SSF. a través de la Cartilla virtual de inducción y como parte del PIC se brindó inducción a seis (6) funcionarios nuevos. Sin embargo, tanto en el año 2021 como en el año 2022 no fue posible validar el listado de funcionarios nuevos que recibieron la Inducción y Reinducción, evidenciando que para el año 2022 se vincularon veinticinco (25) funcionarios a la entidad.</w:t>
                  </w:r>
                </w:p>
              </w:tc>
            </w:tr>
            <w:tr w:rsidR="00AF4481" w:rsidRPr="00AF4481" w14:paraId="51A1595C" w14:textId="77777777" w:rsidTr="00AF4481">
              <w:trPr>
                <w:trHeight w:val="177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622D7423"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4</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04CD4374"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ISO 9001:2015: En su numeral 4.4.1 literales b) y d) </w:t>
                  </w:r>
                  <w:r w:rsidRPr="00AF4481">
                    <w:rPr>
                      <w:rFonts w:eastAsia="Times New Roman"/>
                      <w:sz w:val="16"/>
                      <w:szCs w:val="16"/>
                      <w:lang w:val="es-ES" w:eastAsia="es-ES"/>
                    </w:rPr>
                    <w:t>teniendo en cuenta de conformidad con la Ley 115 del año 1994, artículo 36 y SS, respecto al Programa de Bilingüismo se observa que,</w:t>
                  </w:r>
                  <w:r w:rsidRPr="00AF4481">
                    <w:rPr>
                      <w:rFonts w:eastAsia="Times New Roman"/>
                      <w:b/>
                      <w:bCs/>
                      <w:sz w:val="16"/>
                      <w:szCs w:val="16"/>
                      <w:lang w:val="es-ES" w:eastAsia="es-ES"/>
                    </w:rPr>
                    <w:t xml:space="preserve"> (…)</w:t>
                  </w:r>
                  <w:r w:rsidRPr="00AF4481">
                    <w:rPr>
                      <w:rFonts w:eastAsia="Times New Roman"/>
                      <w:b/>
                      <w:bCs/>
                      <w:sz w:val="16"/>
                      <w:szCs w:val="16"/>
                      <w:lang w:val="es-ES" w:eastAsia="es-ES"/>
                    </w:rPr>
                    <w:br/>
                  </w:r>
                  <w:r w:rsidRPr="00AF4481">
                    <w:rPr>
                      <w:rFonts w:eastAsia="Times New Roman"/>
                      <w:sz w:val="16"/>
                      <w:szCs w:val="16"/>
                      <w:lang w:val="es-ES" w:eastAsia="es-ES"/>
                    </w:rPr>
                    <w:t xml:space="preserve">en la vigencia del año 2022 reincide la falta de gestión de este programa, toda vez que, de acuerdo a lo manifestado en la reunión con la Universidad EAN, realizada el día 15 de junio de 2022, se decidió hacer las gestiones para contratar al practicante de la mencionada institución, lo cual no fue posible, y por ello, a la fecha no hubo más avance. De esta manera se evidencio la falta de planeación y controles en la actividad ya establecida en el Plan de Capacitación de la entidad. </w:t>
                  </w:r>
                </w:p>
              </w:tc>
            </w:tr>
            <w:tr w:rsidR="00AF4481" w:rsidRPr="00AF4481" w14:paraId="29CD4694" w14:textId="77777777" w:rsidTr="00AF4481">
              <w:trPr>
                <w:trHeight w:val="135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35EDFC4F"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5</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05F52D08" w14:textId="02F9E052"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ISO 9001:2015: En su numeral 5.1.1   </w:t>
                  </w:r>
                  <w:r w:rsidRPr="00AF4481">
                    <w:rPr>
                      <w:rFonts w:eastAsia="Times New Roman"/>
                      <w:sz w:val="16"/>
                      <w:szCs w:val="16"/>
                      <w:lang w:val="es-ES" w:eastAsia="es-ES"/>
                    </w:rPr>
                    <w:t xml:space="preserve">en la norma Sistema de Gestión MIPG 1a dimensión talento humano y ambiente de control. Se evidenció incumplimiento en el procedimiento “Vinculación y Desvinculación” de acuerdo a la verificación que se realizó en las carpetas físicas de los funcionarios que se vincularon en la entidad en la vigencia del </w:t>
                  </w:r>
                  <w:r w:rsidR="007103EE" w:rsidRPr="00AF4481">
                    <w:rPr>
                      <w:rFonts w:eastAsia="Times New Roman"/>
                      <w:sz w:val="16"/>
                      <w:szCs w:val="16"/>
                      <w:lang w:val="es-ES" w:eastAsia="es-ES"/>
                    </w:rPr>
                    <w:t>año 2022</w:t>
                  </w:r>
                  <w:r w:rsidRPr="00AF4481">
                    <w:rPr>
                      <w:rFonts w:eastAsia="Times New Roman"/>
                      <w:sz w:val="16"/>
                      <w:szCs w:val="16"/>
                      <w:lang w:val="es-ES" w:eastAsia="es-ES"/>
                    </w:rPr>
                    <w:t>, se observó que no cuentan con todos sus soportes de vinculación, de acuerdo al procedimiento y conforme con el Artículo 6 de la Resolución No. 2346 de 2007</w:t>
                  </w:r>
                  <w:r w:rsidRPr="00AF4481">
                    <w:rPr>
                      <w:rFonts w:eastAsia="Times New Roman"/>
                      <w:b/>
                      <w:bCs/>
                      <w:sz w:val="16"/>
                      <w:szCs w:val="16"/>
                      <w:lang w:val="es-ES" w:eastAsia="es-ES"/>
                    </w:rPr>
                    <w:t xml:space="preserve"> (...)</w:t>
                  </w:r>
                </w:p>
              </w:tc>
            </w:tr>
            <w:tr w:rsidR="00AF4481" w:rsidRPr="00AF4481" w14:paraId="13181BFC" w14:textId="77777777" w:rsidTr="00AF4481">
              <w:trPr>
                <w:trHeight w:val="96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431957DC"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6</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3E4C6053"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9001:2015 NTCGP ISO 9001:2015: En su numeral 7.2 Competencia, literales a) y b). </w:t>
                  </w:r>
                  <w:r w:rsidRPr="00AF4481">
                    <w:rPr>
                      <w:rFonts w:eastAsia="Times New Roman"/>
                      <w:sz w:val="16"/>
                      <w:szCs w:val="16"/>
                      <w:lang w:val="es-ES" w:eastAsia="es-ES"/>
                    </w:rPr>
                    <w:t>Se evidencia la falta de controles y pericia por parte de los funcionarios que elaboraron, revisaron y firmaron los documentos y las Resoluciones en el momento de Vinculación de algunos funcionarios de la entidad en la vigencia año 2022.</w:t>
                  </w:r>
                  <w:r w:rsidRPr="00AF4481">
                    <w:rPr>
                      <w:rFonts w:eastAsia="Times New Roman"/>
                      <w:b/>
                      <w:bCs/>
                      <w:sz w:val="16"/>
                      <w:szCs w:val="16"/>
                      <w:lang w:val="es-ES" w:eastAsia="es-ES"/>
                    </w:rPr>
                    <w:t xml:space="preserve"> (...)</w:t>
                  </w:r>
                </w:p>
              </w:tc>
            </w:tr>
            <w:tr w:rsidR="00AF4481" w:rsidRPr="00AF4481" w14:paraId="320FE7A5" w14:textId="77777777" w:rsidTr="00AF4481">
              <w:trPr>
                <w:trHeight w:val="762"/>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1EF63F22"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lastRenderedPageBreak/>
                    <w:t>7</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67E0B1BF"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9001:2015 en su numeral 9.1.3 Análisis y evaluación. </w:t>
                  </w:r>
                  <w:r w:rsidRPr="00AF4481">
                    <w:rPr>
                      <w:rFonts w:eastAsia="Times New Roman"/>
                      <w:sz w:val="16"/>
                      <w:szCs w:val="16"/>
                      <w:lang w:val="es-ES" w:eastAsia="es-ES"/>
                    </w:rPr>
                    <w:t>Se evidencio incumplimiento en el Plan de Acción para la vigencia del año 2022 el cual fue del 92%, debido a que en algunas actividades plasmadas para esa vigencia no se ejecutaron al 100%.</w:t>
                  </w:r>
                  <w:r w:rsidRPr="00AF4481">
                    <w:rPr>
                      <w:rFonts w:eastAsia="Times New Roman"/>
                      <w:b/>
                      <w:bCs/>
                      <w:sz w:val="16"/>
                      <w:szCs w:val="16"/>
                      <w:lang w:val="es-ES" w:eastAsia="es-ES"/>
                    </w:rPr>
                    <w:t xml:space="preserve"> (…)</w:t>
                  </w:r>
                </w:p>
              </w:tc>
            </w:tr>
            <w:tr w:rsidR="00AF4481" w:rsidRPr="00AF4481" w14:paraId="6F827DA5" w14:textId="77777777" w:rsidTr="00AF4481">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7367711"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Oportunidad de mejora</w:t>
                  </w:r>
                </w:p>
              </w:tc>
            </w:tr>
            <w:tr w:rsidR="00AF4481" w:rsidRPr="00AF4481" w14:paraId="632360C9" w14:textId="77777777" w:rsidTr="00AF4481">
              <w:trPr>
                <w:trHeight w:val="762"/>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7C1B252A"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1</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386DB0C6"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Incumplimiento norma NTCGP 9001:2015 en su numeral 7.5.3.2(...)</w:t>
                  </w:r>
                  <w:r w:rsidRPr="00AF4481">
                    <w:rPr>
                      <w:rFonts w:eastAsia="Times New Roman"/>
                      <w:b/>
                      <w:bCs/>
                      <w:sz w:val="16"/>
                      <w:szCs w:val="16"/>
                      <w:lang w:val="es-ES" w:eastAsia="es-ES"/>
                    </w:rPr>
                    <w:br/>
                  </w:r>
                  <w:r w:rsidRPr="00AF4481">
                    <w:rPr>
                      <w:rFonts w:eastAsia="Times New Roman"/>
                      <w:sz w:val="16"/>
                      <w:szCs w:val="16"/>
                      <w:lang w:val="es-ES" w:eastAsia="es-ES"/>
                    </w:rPr>
                    <w:t>Se encontró que el proceso usa un formato diferente para el seguimiento de Incapacidades y existe uno registrado en la herramienta Isolucion de documentos maestros “FO-GTH-ADN-012 “del cual no contienen los mismos campos.</w:t>
                  </w:r>
                </w:p>
              </w:tc>
            </w:tr>
            <w:tr w:rsidR="00AF4481" w:rsidRPr="00AF4481" w14:paraId="2BC7B7AD" w14:textId="77777777" w:rsidTr="00AF4481">
              <w:trPr>
                <w:trHeight w:val="88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5F44FC73"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2</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7495A429"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ISO 9001:2015 en su numeral 4.3 literal C. </w:t>
                  </w:r>
                  <w:r w:rsidRPr="00AF4481">
                    <w:rPr>
                      <w:rFonts w:eastAsia="Times New Roman"/>
                      <w:sz w:val="16"/>
                      <w:szCs w:val="16"/>
                      <w:lang w:val="es-ES" w:eastAsia="es-ES"/>
                    </w:rPr>
                    <w:t xml:space="preserve">Dentro del marco legal proferido por la Procuraduría General de la Nación “Guía para el Cumplimiento de Transparencia Activa de la Ley 1712 de 2014, según consulta en la página de la SSF </w:t>
                  </w:r>
                  <w:r w:rsidRPr="00AF4481">
                    <w:rPr>
                      <w:rFonts w:eastAsia="Times New Roman"/>
                      <w:b/>
                      <w:bCs/>
                      <w:sz w:val="16"/>
                      <w:szCs w:val="16"/>
                      <w:lang w:val="es-ES" w:eastAsia="es-ES"/>
                    </w:rPr>
                    <w:t>(...)</w:t>
                  </w:r>
                </w:p>
              </w:tc>
            </w:tr>
            <w:tr w:rsidR="00AF4481" w:rsidRPr="00AF4481" w14:paraId="36A06D3D" w14:textId="77777777" w:rsidTr="00AF4481">
              <w:trPr>
                <w:trHeight w:val="139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27DE2836"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3</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10B97A95"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ISO 9001:2015 en su numeral 6.1.1 literal C. </w:t>
                  </w:r>
                  <w:r w:rsidRPr="00AF4481">
                    <w:rPr>
                      <w:rFonts w:eastAsia="Times New Roman"/>
                      <w:sz w:val="16"/>
                      <w:szCs w:val="16"/>
                      <w:lang w:val="es-ES" w:eastAsia="es-ES"/>
                    </w:rPr>
                    <w:t xml:space="preserve">Teniendo en cuenta el índice de asistentes que culminaron el Plan Institucional de Capacitación en la vigencia del año 2022, se evidenció que solo un 34% de funcionarios de la entidad cumplieron satisfactoriamente el Plan de Capacitación a 31 de diciembre del 2022. Este hallazgo es reiterativo porque en vigencias anteriores se ha presentado y a la fecha no se han tomado las medidas correctivas para subsanar y replantear el cronograma de las actividades de cada capacitación programada, por parte del Grupo de Gestión de Talento Humano. </w:t>
                  </w:r>
                  <w:r w:rsidRPr="00AF4481">
                    <w:rPr>
                      <w:rFonts w:eastAsia="Times New Roman"/>
                      <w:b/>
                      <w:bCs/>
                      <w:sz w:val="16"/>
                      <w:szCs w:val="16"/>
                      <w:lang w:val="es-ES" w:eastAsia="es-ES"/>
                    </w:rPr>
                    <w:t>(...)</w:t>
                  </w:r>
                </w:p>
              </w:tc>
            </w:tr>
            <w:tr w:rsidR="00AF4481" w:rsidRPr="00AF4481" w14:paraId="2C2B28C1" w14:textId="77777777" w:rsidTr="00AF4481">
              <w:trPr>
                <w:trHeight w:val="163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438B7F19"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4</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5997B5ED"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 xml:space="preserve">Incumplimiento norma NTCGP ISO 9001:2015 en su numeral 4.4.2 literales a) y b) </w:t>
                  </w:r>
                  <w:r w:rsidRPr="00AF4481">
                    <w:rPr>
                      <w:rFonts w:eastAsia="Times New Roman"/>
                      <w:sz w:val="16"/>
                      <w:szCs w:val="16"/>
                      <w:lang w:val="es-ES" w:eastAsia="es-ES"/>
                    </w:rPr>
                    <w:t>De acuerdo a la revisión que se hizo a las incapacidades generadas por parte de los funcionarios de la entidad, podemos evidenciar que con referencia a accidentes de trabajo la información descrita en el Informe de Ausentismo enero – junio 2022, numeral 5.2 y los Indicadores de Gestión en el aplicativo de Isolucion (Frecuencia de Accidentes de Trabajo con Incapacidad) no corresponde ya que, el primero indica que hubo cero (0) incapacidades por accidente de trabajo y el segundo indica que, durante la vigencia 2022, se presentaron dos (2) accidentes de trabajo con incapacidad de los cuales, uno de ellos se presentó durante el primer semestre de 2022.</w:t>
                  </w:r>
                  <w:r w:rsidRPr="00AF4481">
                    <w:rPr>
                      <w:rFonts w:eastAsia="Times New Roman"/>
                      <w:b/>
                      <w:bCs/>
                      <w:sz w:val="16"/>
                      <w:szCs w:val="16"/>
                      <w:lang w:val="es-ES" w:eastAsia="es-ES"/>
                    </w:rPr>
                    <w:t>(...)</w:t>
                  </w:r>
                </w:p>
              </w:tc>
            </w:tr>
            <w:tr w:rsidR="00AF4481" w:rsidRPr="00AF4481" w14:paraId="0C9F36FE" w14:textId="77777777" w:rsidTr="00AF4481">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0EC73DEC" w14:textId="77777777" w:rsidR="00AF4481" w:rsidRPr="00AF4481" w:rsidRDefault="00AF4481" w:rsidP="00AF4481">
                  <w:pPr>
                    <w:autoSpaceDE/>
                    <w:autoSpaceDN/>
                    <w:adjustRightInd/>
                    <w:jc w:val="center"/>
                    <w:rPr>
                      <w:rFonts w:eastAsia="Times New Roman"/>
                      <w:b/>
                      <w:bCs/>
                      <w:sz w:val="16"/>
                      <w:szCs w:val="16"/>
                      <w:lang w:val="es-ES" w:eastAsia="es-ES"/>
                    </w:rPr>
                  </w:pPr>
                  <w:r w:rsidRPr="00AF4481">
                    <w:rPr>
                      <w:rFonts w:eastAsia="Times New Roman"/>
                      <w:b/>
                      <w:bCs/>
                      <w:sz w:val="16"/>
                      <w:szCs w:val="16"/>
                      <w:lang w:val="es-ES" w:eastAsia="es-ES"/>
                    </w:rPr>
                    <w:t>Recomendaciones OCI</w:t>
                  </w:r>
                </w:p>
              </w:tc>
            </w:tr>
            <w:tr w:rsidR="00AF4481" w:rsidRPr="00AF4481" w14:paraId="434955F9" w14:textId="77777777" w:rsidTr="00AF4481">
              <w:trPr>
                <w:trHeight w:val="93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530D60D9"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Se recomienda dar cumplimiento y alcance a la planificación del Plan Institucional de Capacitación, en lo concerniente al programa de Bilingüismo aprobado, ya que es un hecho reiterativo toda vez que para la vigencia 2021 como para la vigencia de 2022 se evidencia que para realizar el programa se necesitaba contar con un prácticamente de idiomas, el cual no se pudo vincular a la entidad.</w:t>
                  </w:r>
                </w:p>
              </w:tc>
            </w:tr>
            <w:tr w:rsidR="00AF4481" w:rsidRPr="00AF4481" w14:paraId="537A61EB" w14:textId="77777777" w:rsidTr="00AF4481">
              <w:trPr>
                <w:trHeight w:val="73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6F7415EF"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La oficina de control interno recomienda revisar el cronograma de actividades ejecutadas dentro del Plan de capacitación, para aumentar el índice de funcionarios participantes en las capacitaciones.</w:t>
                  </w:r>
                </w:p>
              </w:tc>
            </w:tr>
            <w:tr w:rsidR="00AF4481" w:rsidRPr="00AF4481" w14:paraId="603D50E0" w14:textId="77777777" w:rsidTr="00AF4481">
              <w:trPr>
                <w:trHeight w:val="91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190B4406"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La oficina de control interno recomienda, tener encuentra dentro del procedimiento de vinculación y desvinculación dar cumplimiento a todos los requisitos de documentos y soportes debidamente foliados en las respectivas carpetas de cada funcionario de la entidad.</w:t>
                  </w:r>
                </w:p>
              </w:tc>
            </w:tr>
            <w:tr w:rsidR="00AF4481" w:rsidRPr="00AF4481" w14:paraId="66775714" w14:textId="77777777" w:rsidTr="00AF4481">
              <w:trPr>
                <w:trHeight w:val="142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2B549225"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La oficina de control interno recomienda el mejor aprovechamiento de la herramienta NOVASOFT en toda la capacidad de los módulos adquiridos en donde los funcionarios puedan realizar las consultas de comprobantes de nómina, certificaciones laborales y  seguimiento, conciliación de incapacidades y a su vez cuando se presente inconvenientes o fallas realizar el registro del requerimiento y hacer el seguimiento para que la solución al problema utilizando los medios que el proveedor ha dispuesto y verificar que los tiempos de solución a la misma sean los que se ha comprometido contractualmente.</w:t>
                  </w:r>
                </w:p>
              </w:tc>
            </w:tr>
            <w:tr w:rsidR="00AF4481" w:rsidRPr="00AF4481" w14:paraId="42A379B9" w14:textId="77777777" w:rsidTr="00AF4481">
              <w:trPr>
                <w:trHeight w:val="63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0B54789B"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 xml:space="preserve">Se recomienda dar cumplimiento a los Planes de Acción en las vigencias de acuerdo a las actividades propuestas, esto </w:t>
                  </w:r>
                  <w:r w:rsidRPr="00AF4481">
                    <w:rPr>
                      <w:rFonts w:eastAsia="Times New Roman"/>
                      <w:sz w:val="16"/>
                      <w:szCs w:val="16"/>
                      <w:lang w:val="es-ES" w:eastAsia="es-ES"/>
                    </w:rPr>
                    <w:br/>
                    <w:t>con el fin de que no se materialicen los riesgos y que los controles sean más efectivos.</w:t>
                  </w:r>
                </w:p>
              </w:tc>
            </w:tr>
            <w:tr w:rsidR="00AF4481" w:rsidRPr="00AF4481" w14:paraId="45AC644B" w14:textId="77777777" w:rsidTr="00AF4481">
              <w:trPr>
                <w:trHeight w:val="72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14817684"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 xml:space="preserve">La oficina de control interno recomienda seguir generando y transmitiendo las capsulas o Tips con mensajes a para todos </w:t>
                  </w:r>
                  <w:r w:rsidRPr="00AF4481">
                    <w:rPr>
                      <w:rFonts w:eastAsia="Times New Roman"/>
                      <w:sz w:val="16"/>
                      <w:szCs w:val="16"/>
                      <w:lang w:val="es-ES" w:eastAsia="es-ES"/>
                    </w:rPr>
                    <w:br/>
                    <w:t>los servidores públicos en el cumplimiento del decreto 1045 de 1978 Artículo 12. Del goce de vacaciones dado que ese es el espíritu y no generar acumulación de periodos de las mismas.</w:t>
                  </w:r>
                </w:p>
              </w:tc>
            </w:tr>
            <w:tr w:rsidR="00AF4481" w:rsidRPr="00AF4481" w14:paraId="1D20F464" w14:textId="77777777" w:rsidTr="00AF4481">
              <w:trPr>
                <w:trHeight w:val="96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01906FE2"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lastRenderedPageBreak/>
                    <w:t xml:space="preserve">La oficina de control interno recomienda, tener más controles y evitar la materialización de riesgos de perdida de dinero </w:t>
                  </w:r>
                  <w:r w:rsidRPr="00AF4481">
                    <w:rPr>
                      <w:rFonts w:eastAsia="Times New Roman"/>
                      <w:sz w:val="16"/>
                      <w:szCs w:val="16"/>
                      <w:lang w:val="es-ES" w:eastAsia="es-ES"/>
                    </w:rPr>
                    <w:br/>
                    <w:t xml:space="preserve">para la Superintendencia por falta de seguimiento en el cobro persuasivo de las incapacidades de acuerdo los tiempos que están establecidos en el procedimiento a fin de evitar pérdidas por el no reconocimiento de pago oportuno de las </w:t>
                  </w:r>
                  <w:r w:rsidRPr="00AF4481">
                    <w:rPr>
                      <w:rFonts w:eastAsia="Times New Roman"/>
                      <w:sz w:val="16"/>
                      <w:szCs w:val="16"/>
                      <w:lang w:val="es-ES" w:eastAsia="es-ES"/>
                    </w:rPr>
                    <w:br/>
                    <w:t>EPS, ARL y AFP.</w:t>
                  </w:r>
                </w:p>
              </w:tc>
            </w:tr>
            <w:tr w:rsidR="00AF4481" w:rsidRPr="00AF4481" w14:paraId="4FDE9B82" w14:textId="77777777" w:rsidTr="00AF4481">
              <w:trPr>
                <w:trHeight w:val="78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144C5827"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 xml:space="preserve">La oficina de control interno recomienda, la revisión del formato que actualmente usa para el seguimiento de las </w:t>
                  </w:r>
                  <w:r w:rsidRPr="00AF4481">
                    <w:rPr>
                      <w:rFonts w:eastAsia="Times New Roman"/>
                      <w:sz w:val="16"/>
                      <w:szCs w:val="16"/>
                      <w:lang w:val="es-ES" w:eastAsia="es-ES"/>
                    </w:rPr>
                    <w:br/>
                    <w:t>incapacidades y que no es el mismo que está registrado en los documentos maestros con identificación</w:t>
                  </w:r>
                  <w:r w:rsidRPr="00AF4481">
                    <w:rPr>
                      <w:rFonts w:eastAsia="Times New Roman"/>
                      <w:sz w:val="16"/>
                      <w:szCs w:val="16"/>
                      <w:lang w:val="es-ES" w:eastAsia="es-ES"/>
                    </w:rPr>
                    <w:br/>
                    <w:t xml:space="preserve"> “FO-GTH-ADN-012”.</w:t>
                  </w:r>
                </w:p>
              </w:tc>
            </w:tr>
            <w:tr w:rsidR="00AF4481" w:rsidRPr="00AF4481" w14:paraId="767078A3" w14:textId="77777777" w:rsidTr="00AF4481">
              <w:trPr>
                <w:trHeight w:val="114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2A00A96D"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 xml:space="preserve">Referente a los planes de mejoramiento o hallazgos, la oficina de control interno evidenció, que se están suscribiendo </w:t>
                  </w:r>
                  <w:r w:rsidRPr="00AF4481">
                    <w:rPr>
                      <w:rFonts w:eastAsia="Times New Roman"/>
                      <w:sz w:val="16"/>
                      <w:szCs w:val="16"/>
                      <w:lang w:val="es-ES" w:eastAsia="es-ES"/>
                    </w:rPr>
                    <w:br/>
                    <w:t>medidas de subsanación a las no conformidades encontradas en las auditorías realizadas, por lo tanto, esta oficina se permite recomendar que las acciones a tomar en estos planes de mejoramiento sean de subsanación, prevención y no reiteración en las falencias encontradas que llevan a la mejora continua del proceso y sus procedimientos.</w:t>
                  </w:r>
                </w:p>
              </w:tc>
            </w:tr>
            <w:tr w:rsidR="00AF4481" w:rsidRPr="00AF4481" w14:paraId="11545374" w14:textId="77777777" w:rsidTr="00AF4481">
              <w:trPr>
                <w:trHeight w:val="163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53D0EE57" w14:textId="77777777" w:rsidR="00AF4481" w:rsidRPr="00AF4481" w:rsidRDefault="00AF4481" w:rsidP="00AF4481">
                  <w:pPr>
                    <w:autoSpaceDE/>
                    <w:autoSpaceDN/>
                    <w:adjustRightInd/>
                    <w:jc w:val="center"/>
                    <w:rPr>
                      <w:rFonts w:eastAsia="Times New Roman"/>
                      <w:sz w:val="16"/>
                      <w:szCs w:val="16"/>
                      <w:lang w:val="es-ES" w:eastAsia="es-ES"/>
                    </w:rPr>
                  </w:pPr>
                  <w:r w:rsidRPr="00AF4481">
                    <w:rPr>
                      <w:rFonts w:eastAsia="Times New Roman"/>
                      <w:sz w:val="16"/>
                      <w:szCs w:val="16"/>
                      <w:lang w:val="es-ES" w:eastAsia="es-ES"/>
                    </w:rPr>
                    <w:t xml:space="preserve">Suscribir plan de mejoramiento que incluya los temas que ameritan adoptar acciones correctivas y preventivas dentro de </w:t>
                  </w:r>
                  <w:r w:rsidRPr="00AF4481">
                    <w:rPr>
                      <w:rFonts w:eastAsia="Times New Roman"/>
                      <w:sz w:val="16"/>
                      <w:szCs w:val="16"/>
                      <w:lang w:val="es-ES" w:eastAsia="es-ES"/>
                    </w:rPr>
                    <w:br/>
                    <w:t xml:space="preserve">los quince (15) días hábiles siguientes al recibo del informe definitivo.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w:t>
                  </w:r>
                  <w:r w:rsidRPr="00AF4481">
                    <w:rPr>
                      <w:rFonts w:eastAsia="Times New Roman"/>
                      <w:sz w:val="16"/>
                      <w:szCs w:val="16"/>
                      <w:lang w:val="es-ES" w:eastAsia="es-ES"/>
                    </w:rPr>
                    <w:br/>
                    <w:t>Por tanto, esta Oficina realizará el seguimiento a las acciones que se implementen en relación con las observaciones efectuadas en el presente informe.</w:t>
                  </w:r>
                </w:p>
              </w:tc>
            </w:tr>
          </w:tbl>
          <w:p w14:paraId="3B692F02" w14:textId="77777777" w:rsidR="00AF4481" w:rsidRPr="007C6A10" w:rsidRDefault="00AF4481" w:rsidP="00595FC2">
            <w:pPr>
              <w:contextualSpacing/>
              <w:rPr>
                <w:lang w:val="es-ES"/>
              </w:rPr>
            </w:pPr>
          </w:p>
          <w:tbl>
            <w:tblPr>
              <w:tblW w:w="9060" w:type="dxa"/>
              <w:jc w:val="center"/>
              <w:tblCellMar>
                <w:left w:w="70" w:type="dxa"/>
                <w:right w:w="70" w:type="dxa"/>
              </w:tblCellMar>
              <w:tblLook w:val="04A0" w:firstRow="1" w:lastRow="0" w:firstColumn="1" w:lastColumn="0" w:noHBand="0" w:noVBand="1"/>
            </w:tblPr>
            <w:tblGrid>
              <w:gridCol w:w="229"/>
              <w:gridCol w:w="8831"/>
            </w:tblGrid>
            <w:tr w:rsidR="00CA4ECD" w:rsidRPr="00CA4ECD" w14:paraId="66D5BE1B" w14:textId="77777777" w:rsidTr="00CA4ECD">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C8E36B6" w14:textId="6C86BB41"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MX" w:eastAsia="es-ES"/>
                    </w:rPr>
                    <w:t xml:space="preserve">No. 377 </w:t>
                  </w:r>
                  <w:r>
                    <w:rPr>
                      <w:rFonts w:eastAsia="Times New Roman"/>
                      <w:b/>
                      <w:bCs/>
                      <w:sz w:val="16"/>
                      <w:szCs w:val="16"/>
                      <w:lang w:val="es-MX" w:eastAsia="es-ES"/>
                    </w:rPr>
                    <w:t>P</w:t>
                  </w:r>
                  <w:r w:rsidRPr="00CA4ECD">
                    <w:rPr>
                      <w:rFonts w:eastAsia="Times New Roman"/>
                      <w:b/>
                      <w:bCs/>
                      <w:sz w:val="16"/>
                      <w:szCs w:val="16"/>
                      <w:lang w:val="es-MX" w:eastAsia="es-ES"/>
                    </w:rPr>
                    <w:t>laneación Institucional</w:t>
                  </w:r>
                </w:p>
              </w:tc>
            </w:tr>
            <w:tr w:rsidR="00CA4ECD" w:rsidRPr="00CA4ECD" w14:paraId="403C6705" w14:textId="77777777" w:rsidTr="00CA4ECD">
              <w:trPr>
                <w:trHeight w:val="31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30EAF16B"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MX" w:eastAsia="es-ES"/>
                    </w:rPr>
                    <w:t>Hallazgos</w:t>
                  </w:r>
                </w:p>
              </w:tc>
            </w:tr>
            <w:tr w:rsidR="00CA4ECD" w:rsidRPr="00CA4ECD" w14:paraId="6B0F42A2" w14:textId="77777777" w:rsidTr="00CA4ECD">
              <w:trPr>
                <w:trHeight w:val="259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6848F9CA"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1</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52A3A574"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 xml:space="preserve">Norma NTC ISO 9001:2015 en el numeral 8.4.2 “Tipo y alcance del control”. </w:t>
                  </w:r>
                  <w:r w:rsidRPr="00CA4ECD">
                    <w:rPr>
                      <w:rFonts w:eastAsia="Times New Roman"/>
                      <w:sz w:val="16"/>
                      <w:szCs w:val="16"/>
                      <w:lang w:val="es-ES" w:eastAsia="es-ES"/>
                    </w:rPr>
                    <w:t xml:space="preserve">Se evidencio el incumplimiento de las condiciones del contrato en “Clausula Tercera, Obligaciones Específicas  en el ítem Soporte y/o Asistencia Técnica: ANS (Acuerdos de niveles de servicios) de ISOLUCION”, el 46% de la muestra seleccionada es decir, en 13 casos no se cumplió con el ANS (acuerdos de niveles de servicios), para la mayor parte de los casos registrados durante la ejecución del contrato en donde el número de días hábiles para los Tipos de Caso con “Funcionalidad Secundaria con Error”, el contratista  tiene establecido un “Tiempo de Solución” de “13 días hábiles” con una prioridad “MEDIA ALTA” y de acuerdo a lo reportado para estos casos superan más del 34 días hábiles en promedio. De igual forma se hace necesario determinar mejores controles correctivos que permitan atenuar las consecuencias de la materialización del riesgo, por no contar con las herramientas disponibles de conformidad con lo dispuesto en el Manual Institucional de Gestión Integral de Riesgo de la SSF que al respecto indica los controles “Seguimiento al uso de los módulos de las herramientas tecnológicas (Control de usabilidad de los módulos)”. </w:t>
                  </w:r>
                </w:p>
              </w:tc>
            </w:tr>
            <w:tr w:rsidR="00CA4ECD" w:rsidRPr="00CA4ECD" w14:paraId="58A79EF9" w14:textId="77777777" w:rsidTr="00CA4ECD">
              <w:trPr>
                <w:trHeight w:val="123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437C257B"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2</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0CB6B76E"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 xml:space="preserve">Norma NTC ISO 9001:2015 en el Numeral 10.2.1, literal b. numeral 1. y Literal d: </w:t>
                  </w:r>
                  <w:r w:rsidRPr="00CA4ECD">
                    <w:rPr>
                      <w:rFonts w:eastAsia="Times New Roman"/>
                      <w:sz w:val="16"/>
                      <w:szCs w:val="16"/>
                      <w:lang w:val="es-ES" w:eastAsia="es-ES"/>
                    </w:rPr>
                    <w:t>No se evidenció el cumplimiento total del plan de mejoramiento respecto de la oportunidad de mejora No. 777. Se evidencia cumplimiento del 50% sin eficacia, teniendo en cuenta que a la fecha del cierre de esta actividad no se efectuó la actualización de los procesos, PR-PCA-004 y PR-PIN-002, habiéndose dejado la Oportunidad de Mejora dentro de la Auditoria de la vigencia anterior.</w:t>
                  </w:r>
                </w:p>
              </w:tc>
            </w:tr>
            <w:tr w:rsidR="00CA4ECD" w:rsidRPr="00CA4ECD" w14:paraId="504F20C4" w14:textId="77777777" w:rsidTr="00CA4ECD">
              <w:trPr>
                <w:trHeight w:val="1170"/>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318A9026"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3</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2BC8C58B"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 xml:space="preserve">Norma NTC ISO 9001:2015 en el Numeral 8.1., literal e), numeral 2.: </w:t>
                  </w:r>
                  <w:r w:rsidRPr="00CA4ECD">
                    <w:rPr>
                      <w:rFonts w:eastAsia="Times New Roman"/>
                      <w:sz w:val="16"/>
                      <w:szCs w:val="16"/>
                      <w:lang w:val="es-ES" w:eastAsia="es-ES"/>
                    </w:rPr>
                    <w:t>se observa incumplimientos en la supervisión de los contratos números 137/2022, 221/2022, 227/2022, 092/2022 y 126/2022, como se describió en el numeral 3.3. de este informe, teniendo en cuenta el manual de contratación de la Superintendencia del Subsidio Familiar en su Capítulo II numeral 5 y la ley 1712 de 2014 Ley trasparencia y del derecho de acceso a la información pública nacional en su art. 2.</w:t>
                  </w:r>
                </w:p>
              </w:tc>
            </w:tr>
            <w:tr w:rsidR="00CA4ECD" w:rsidRPr="00CA4ECD" w14:paraId="4B76D58D" w14:textId="77777777" w:rsidTr="00CA4ECD">
              <w:trPr>
                <w:trHeight w:val="91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06A8CCAF"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4</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14C10202"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 xml:space="preserve">Norma NTC ISO 9001:2015 en el Numeral 8.2.3.1, literal d).: </w:t>
                  </w:r>
                  <w:r w:rsidRPr="00CA4ECD">
                    <w:rPr>
                      <w:rFonts w:eastAsia="Times New Roman"/>
                      <w:sz w:val="16"/>
                      <w:szCs w:val="16"/>
                      <w:lang w:val="es-ES" w:eastAsia="es-ES"/>
                    </w:rPr>
                    <w:t>se observa incumplimiento en la publicación del Mapa de Riesgos de Corrupción vigencia 2023 en la página web de la entidad o en un medio de fácil acceso al ciudadano, teniendo en cuenta lo contemplado el art. 2.1.4.8 del Decreto 1081/2015 a más tardar el 31 de enero de cada año.</w:t>
                  </w:r>
                </w:p>
              </w:tc>
            </w:tr>
            <w:tr w:rsidR="00CA4ECD" w:rsidRPr="00CA4ECD" w14:paraId="68B61DCB" w14:textId="77777777" w:rsidTr="00CA4ECD">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8EB5F5C"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lastRenderedPageBreak/>
                    <w:t>Oportunidad de mejora</w:t>
                  </w:r>
                </w:p>
              </w:tc>
            </w:tr>
            <w:tr w:rsidR="00CA4ECD" w:rsidRPr="00CA4ECD" w14:paraId="6829EBFE" w14:textId="77777777" w:rsidTr="00CA4ECD">
              <w:trPr>
                <w:trHeight w:val="3255"/>
                <w:jc w:val="center"/>
              </w:trPr>
              <w:tc>
                <w:tcPr>
                  <w:tcW w:w="124" w:type="dxa"/>
                  <w:tcBorders>
                    <w:top w:val="nil"/>
                    <w:left w:val="single" w:sz="8" w:space="0" w:color="305496"/>
                    <w:bottom w:val="single" w:sz="8" w:space="0" w:color="305496"/>
                    <w:right w:val="single" w:sz="8" w:space="0" w:color="305496"/>
                  </w:tcBorders>
                  <w:shd w:val="clear" w:color="000000" w:fill="FFFFFF"/>
                  <w:noWrap/>
                  <w:vAlign w:val="center"/>
                  <w:hideMark/>
                </w:tcPr>
                <w:p w14:paraId="2DA1D8A0"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1</w:t>
                  </w:r>
                </w:p>
              </w:tc>
              <w:tc>
                <w:tcPr>
                  <w:tcW w:w="8936" w:type="dxa"/>
                  <w:tcBorders>
                    <w:top w:val="single" w:sz="8" w:space="0" w:color="305496"/>
                    <w:left w:val="nil"/>
                    <w:bottom w:val="single" w:sz="8" w:space="0" w:color="305496"/>
                    <w:right w:val="single" w:sz="8" w:space="0" w:color="305496"/>
                  </w:tcBorders>
                  <w:shd w:val="clear" w:color="000000" w:fill="FFFFFF"/>
                  <w:vAlign w:val="center"/>
                  <w:hideMark/>
                </w:tcPr>
                <w:p w14:paraId="350050D6" w14:textId="56BDB1B9" w:rsidR="00CA4ECD" w:rsidRPr="00CA4ECD" w:rsidRDefault="00CA4ECD" w:rsidP="002E3037">
                  <w:pPr>
                    <w:autoSpaceDE/>
                    <w:autoSpaceDN/>
                    <w:adjustRightInd/>
                    <w:rPr>
                      <w:rFonts w:eastAsia="Times New Roman"/>
                      <w:b/>
                      <w:bCs/>
                      <w:sz w:val="16"/>
                      <w:szCs w:val="16"/>
                      <w:lang w:val="es-ES" w:eastAsia="es-ES"/>
                    </w:rPr>
                  </w:pPr>
                  <w:r w:rsidRPr="00CA4ECD">
                    <w:rPr>
                      <w:rFonts w:eastAsia="Times New Roman"/>
                      <w:b/>
                      <w:bCs/>
                      <w:sz w:val="16"/>
                      <w:szCs w:val="16"/>
                      <w:lang w:val="es-ES" w:eastAsia="es-ES"/>
                    </w:rPr>
                    <w:t xml:space="preserve">Norma NTC ISO 9001:2015 en el Numeral 8.1. literal e numeral 1. </w:t>
                  </w:r>
                  <w:r w:rsidRPr="00CA4ECD">
                    <w:rPr>
                      <w:rFonts w:eastAsia="Times New Roman"/>
                      <w:sz w:val="16"/>
                      <w:szCs w:val="16"/>
                      <w:lang w:val="es-ES" w:eastAsia="es-ES"/>
                    </w:rPr>
                    <w:t xml:space="preserve">Se evidencia dentro de los informes de actividades de los siguientes contratos 026 /2022, 126/2022, 137/2021 y 221/2022, que en los productos contratados dentro de las obligaciones específicas se contemplaban diferentes actividades para la elaboración del mapa de riesgos de gestión (definir, diseñar, actualizar, implementar y sensibilizar el mapa de riesgos de la SSF) en los informes de actividades se observa que presentó un borrador, donde se modificaban el número de riesgos  a 41 y los controles  110, mapa de riesgos de gestión que se llevó al comité Institucional de Coordinación de Control Interno No 2 en fecha 20 diciembre 2022  y no se aprobó, por consiguiente no se implementó la actualización del mapa de riesgos de gestión en la Superintendencia de Subsidio Familiar. Lo anterior inobserva la falta de planificación en los entregables de los contratistas para que se cumpla lo proyectado en el objeto contractual dentro de la vigencia de la ejecución del contrato y darle así aplicación a los principios y fines de la contratación administrativa. Cabe aclarar que se observa en la página web de la entidad en la vigencia 2022 riesgos de gestión en el siguiente link </w:t>
                  </w:r>
                  <w:hyperlink r:id="rId23" w:history="1">
                    <w:r w:rsidR="00683206" w:rsidRPr="00CA4ECD">
                      <w:rPr>
                        <w:rStyle w:val="Hipervnculo"/>
                        <w:rFonts w:eastAsia="Times New Roman"/>
                        <w:sz w:val="16"/>
                        <w:szCs w:val="16"/>
                        <w:lang w:val="es-ES" w:eastAsia="es-ES"/>
                      </w:rPr>
                      <w:t>https://www.ssf.gov.co/web/guest/transparencia/planeacion/informe-de-gestion-de-la-entidad/gestion-de-riesgos/mapa-de-riesgo-de-gestio</w:t>
                    </w:r>
                    <w:r w:rsidR="00683206" w:rsidRPr="00FB0227">
                      <w:rPr>
                        <w:rStyle w:val="Hipervnculo"/>
                        <w:rFonts w:eastAsia="Times New Roman"/>
                        <w:sz w:val="16"/>
                        <w:szCs w:val="16"/>
                        <w:lang w:val="es-ES" w:eastAsia="es-ES"/>
                      </w:rPr>
                      <w:t>n</w:t>
                    </w:r>
                  </w:hyperlink>
                  <w:r w:rsidR="00683206">
                    <w:rPr>
                      <w:rFonts w:eastAsia="Times New Roman"/>
                      <w:sz w:val="16"/>
                      <w:szCs w:val="16"/>
                      <w:lang w:val="es-ES" w:eastAsia="es-ES"/>
                    </w:rPr>
                    <w:t xml:space="preserve"> </w:t>
                  </w:r>
                  <w:r w:rsidR="002E3037">
                    <w:rPr>
                      <w:rFonts w:eastAsia="Times New Roman"/>
                      <w:sz w:val="16"/>
                      <w:szCs w:val="16"/>
                      <w:lang w:val="es-ES" w:eastAsia="es-ES"/>
                    </w:rPr>
                    <w:t xml:space="preserve"> S</w:t>
                  </w:r>
                  <w:r w:rsidRPr="00CA4ECD">
                    <w:rPr>
                      <w:rFonts w:eastAsia="Times New Roman"/>
                      <w:sz w:val="16"/>
                      <w:szCs w:val="16"/>
                      <w:lang w:val="es-ES" w:eastAsia="es-ES"/>
                    </w:rPr>
                    <w:t>e observa la publicación del mapa de riesgos de gestión 2021 en fecha  28 de septiembre del 2022.</w:t>
                  </w:r>
                </w:p>
              </w:tc>
            </w:tr>
            <w:tr w:rsidR="00CA4ECD" w:rsidRPr="00CA4ECD" w14:paraId="217D0C9B" w14:textId="77777777" w:rsidTr="00CA4ECD">
              <w:trPr>
                <w:trHeight w:val="30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BDD7EE"/>
                  <w:vAlign w:val="center"/>
                  <w:hideMark/>
                </w:tcPr>
                <w:p w14:paraId="2B4F6FB4" w14:textId="77777777" w:rsidR="00CA4ECD" w:rsidRPr="00CA4ECD" w:rsidRDefault="00CA4ECD" w:rsidP="00CA4ECD">
                  <w:pPr>
                    <w:autoSpaceDE/>
                    <w:autoSpaceDN/>
                    <w:adjustRightInd/>
                    <w:jc w:val="center"/>
                    <w:rPr>
                      <w:rFonts w:eastAsia="Times New Roman"/>
                      <w:b/>
                      <w:bCs/>
                      <w:sz w:val="16"/>
                      <w:szCs w:val="16"/>
                      <w:lang w:val="es-ES" w:eastAsia="es-ES"/>
                    </w:rPr>
                  </w:pPr>
                  <w:r w:rsidRPr="00CA4ECD">
                    <w:rPr>
                      <w:rFonts w:eastAsia="Times New Roman"/>
                      <w:b/>
                      <w:bCs/>
                      <w:sz w:val="16"/>
                      <w:szCs w:val="16"/>
                      <w:lang w:val="es-ES" w:eastAsia="es-ES"/>
                    </w:rPr>
                    <w:t>Recomendaciones OCI</w:t>
                  </w:r>
                </w:p>
              </w:tc>
            </w:tr>
            <w:tr w:rsidR="00CA4ECD" w:rsidRPr="00CA4ECD" w14:paraId="6144A997" w14:textId="77777777" w:rsidTr="00CA4ECD">
              <w:trPr>
                <w:trHeight w:val="702"/>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55596355"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 xml:space="preserve">Se recomienda que el procedimiento Elaboración de Informes Internos y a Entes Externos (PR-PIN-EIEE-001). Se actualice en las actividades 2. 3 y 5. teniendo en cuenta que no se generan los documentos que indica el procedimiento en las actividades señaladas. </w:t>
                  </w:r>
                </w:p>
              </w:tc>
            </w:tr>
            <w:tr w:rsidR="00CA4ECD" w:rsidRPr="00CA4ECD" w14:paraId="63E289AB" w14:textId="77777777" w:rsidTr="00CA4ECD">
              <w:trPr>
                <w:trHeight w:val="70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222AED69"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Se recomienda publicar el Mapa de Riesgos de Corrupción en la página web de la entidad o en un medio de fácil acceso al ciudadano, a más tardar el 31 de enero de cada año de acuerdo a lo contemplado el art. 2.1.4.8 del Decreto 1081/2015.</w:t>
                  </w:r>
                </w:p>
              </w:tc>
            </w:tr>
            <w:tr w:rsidR="00CA4ECD" w:rsidRPr="00CA4ECD" w14:paraId="1309FF30" w14:textId="77777777" w:rsidTr="00CA4ECD">
              <w:trPr>
                <w:trHeight w:val="93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04C84BA0"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Se recomienda en los reportes de atención de casos Isolucion, se incluya la fecha y el tiempo de solución para cada cas</w:t>
                  </w:r>
                  <w:r w:rsidRPr="00CA4ECD">
                    <w:rPr>
                      <w:rFonts w:eastAsia="Times New Roman"/>
                      <w:sz w:val="16"/>
                      <w:szCs w:val="16"/>
                      <w:lang w:val="es-ES" w:eastAsia="es-ES"/>
                    </w:rPr>
                    <w:br/>
                    <w:t>o con el nivel de cumplimiento del ANS respectivo que está como obligación especifica en el contrato y en el reporte de atención de casos si en el bimestre no se dio la solución o quedo pendiente, se mencione en el siguiente periodo la fecha del cierre del mismo e indicar el tiempo de solución y el cumplimiento del ANS para cada uno.</w:t>
                  </w:r>
                </w:p>
              </w:tc>
            </w:tr>
            <w:tr w:rsidR="00CA4ECD" w:rsidRPr="00CA4ECD" w14:paraId="796998AB" w14:textId="77777777" w:rsidTr="00CA4ECD">
              <w:trPr>
                <w:trHeight w:val="184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018F818C"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Con base en la ejecución de los contratos de prestación de servicios profesionales celebrados en la vigencia 2022 para</w:t>
                  </w:r>
                  <w:r w:rsidRPr="00CA4ECD">
                    <w:rPr>
                      <w:rFonts w:eastAsia="Times New Roman"/>
                      <w:sz w:val="16"/>
                      <w:szCs w:val="16"/>
                      <w:lang w:val="es-ES" w:eastAsia="es-ES"/>
                    </w:rPr>
                    <w:br/>
                    <w:t xml:space="preserve"> la consecución de los productos establecidos en los procedimientos relacionados, (riesgos de gestión) entre otros, los cuales fueron gestionados de acuerdo con las necesidades identificadas por la Oficina Asesora de Planeación descrita en los estudios previos, y a quien le fue asignada la supervisión, se observaron entregables con actualizaciones, revisiones, análisis en temas que van enfocados al mejoramiento continuo del proceso, sin embargo, en el desarrollo de la presente auditoría se evidenció que no se están implementando al interior de la Entidad. Por consiguiente, se requiere de la toma de acciones por parte de la dependencia para la adopción, aprobación e implementación cumpliendo con la satisfacción de las necesidades identificadas.</w:t>
                  </w:r>
                </w:p>
              </w:tc>
            </w:tr>
            <w:tr w:rsidR="00CA4ECD" w:rsidRPr="00CA4ECD" w14:paraId="65B11D79" w14:textId="77777777" w:rsidTr="00CA4ECD">
              <w:trPr>
                <w:trHeight w:val="84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6312DCE5"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La Oficina de Control Interno, recomienda corregir la numeración de las actividades el procedimiento “Recaudo Cuota de</w:t>
                  </w:r>
                  <w:r w:rsidRPr="00CA4ECD">
                    <w:rPr>
                      <w:rFonts w:eastAsia="Times New Roman"/>
                      <w:sz w:val="16"/>
                      <w:szCs w:val="16"/>
                      <w:lang w:val="es-ES" w:eastAsia="es-ES"/>
                    </w:rPr>
                    <w:br/>
                    <w:t xml:space="preserve"> Sostenimiento de la entidad”, se evidencia en la herramienta Isolucion en la consecución de la numeración en su última actividad se asignó el No. 8 y correspondía el número 10.</w:t>
                  </w:r>
                </w:p>
              </w:tc>
            </w:tr>
            <w:tr w:rsidR="00CA4ECD" w:rsidRPr="00CA4ECD" w14:paraId="4E801CC0" w14:textId="77777777" w:rsidTr="00CA4ECD">
              <w:trPr>
                <w:trHeight w:val="96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56C49474"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Se recomienda al proceso de Planeación Institucional, cumplir con las metas propuestas definidas en su ficha técnica para</w:t>
                  </w:r>
                  <w:r w:rsidRPr="00CA4ECD">
                    <w:rPr>
                      <w:rFonts w:eastAsia="Times New Roman"/>
                      <w:sz w:val="16"/>
                      <w:szCs w:val="16"/>
                      <w:lang w:val="es-ES" w:eastAsia="es-ES"/>
                    </w:rPr>
                    <w:br/>
                    <w:t xml:space="preserve"> el indicador No. 435 denominado “Efectividad de los controles de riesgos de gestión”, donde se evidencia que su medición no alcanzó la meta, por consiguiente, se debe hacer una socialización de los resultados de los indicadores con los diferentes procesos que no cumplen la meta y analizar los controles definidos para que sean efectivos.</w:t>
                  </w:r>
                </w:p>
              </w:tc>
            </w:tr>
            <w:tr w:rsidR="00CA4ECD" w:rsidRPr="00CA4ECD" w14:paraId="4534ADF6" w14:textId="77777777" w:rsidTr="00CA4ECD">
              <w:trPr>
                <w:trHeight w:val="765"/>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23DBE032"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t>Es importante que las recomendaciones identificadas en la presente auditoría las cuales se presentan en el desarrollo</w:t>
                  </w:r>
                  <w:r w:rsidRPr="00CA4ECD">
                    <w:rPr>
                      <w:rFonts w:eastAsia="Times New Roman"/>
                      <w:sz w:val="16"/>
                      <w:szCs w:val="16"/>
                      <w:lang w:val="es-ES" w:eastAsia="es-ES"/>
                    </w:rPr>
                    <w:br/>
                    <w:t xml:space="preserve"> del informe sean revisadas y analizadas por el proceso, con el propósito de determinar los aspectos a mejorar y se les realice seguimiento.</w:t>
                  </w:r>
                </w:p>
              </w:tc>
            </w:tr>
            <w:tr w:rsidR="00CA4ECD" w:rsidRPr="00CA4ECD" w14:paraId="2CF55550" w14:textId="77777777" w:rsidTr="00CA4ECD">
              <w:trPr>
                <w:trHeight w:val="1650"/>
                <w:jc w:val="center"/>
              </w:trPr>
              <w:tc>
                <w:tcPr>
                  <w:tcW w:w="9060" w:type="dxa"/>
                  <w:gridSpan w:val="2"/>
                  <w:tcBorders>
                    <w:top w:val="single" w:sz="8" w:space="0" w:color="305496"/>
                    <w:left w:val="single" w:sz="8" w:space="0" w:color="305496"/>
                    <w:bottom w:val="single" w:sz="8" w:space="0" w:color="305496"/>
                    <w:right w:val="single" w:sz="8" w:space="0" w:color="305496"/>
                  </w:tcBorders>
                  <w:shd w:val="clear" w:color="000000" w:fill="FFFFFF"/>
                  <w:vAlign w:val="center"/>
                  <w:hideMark/>
                </w:tcPr>
                <w:p w14:paraId="1102A15E" w14:textId="77777777" w:rsidR="00CA4ECD" w:rsidRPr="00CA4ECD" w:rsidRDefault="00CA4ECD" w:rsidP="00CA4ECD">
                  <w:pPr>
                    <w:autoSpaceDE/>
                    <w:autoSpaceDN/>
                    <w:adjustRightInd/>
                    <w:jc w:val="center"/>
                    <w:rPr>
                      <w:rFonts w:eastAsia="Times New Roman"/>
                      <w:sz w:val="16"/>
                      <w:szCs w:val="16"/>
                      <w:lang w:val="es-ES" w:eastAsia="es-ES"/>
                    </w:rPr>
                  </w:pPr>
                  <w:r w:rsidRPr="00CA4ECD">
                    <w:rPr>
                      <w:rFonts w:eastAsia="Times New Roman"/>
                      <w:sz w:val="16"/>
                      <w:szCs w:val="16"/>
                      <w:lang w:val="es-ES" w:eastAsia="es-ES"/>
                    </w:rPr>
                    <w:lastRenderedPageBreak/>
                    <w:t xml:space="preserve">La Oficina de Control Interno recomienda suscribir plan de mejoramiento dentro de los quince (15) días hábiles siguientes </w:t>
                  </w:r>
                  <w:r w:rsidRPr="00CA4ECD">
                    <w:rPr>
                      <w:rFonts w:eastAsia="Times New Roman"/>
                      <w:sz w:val="16"/>
                      <w:szCs w:val="16"/>
                      <w:lang w:val="es-ES" w:eastAsia="es-ES"/>
                    </w:rPr>
                    <w:br/>
                    <w:t>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67500B06" w14:textId="77777777" w:rsidR="00CA4ECD" w:rsidRDefault="00CA4ECD" w:rsidP="00267B0E">
            <w:pPr>
              <w:spacing w:line="360" w:lineRule="auto"/>
              <w:contextualSpacing/>
              <w:rPr>
                <w:lang w:val="es-MX"/>
              </w:rPr>
            </w:pPr>
          </w:p>
          <w:p w14:paraId="2BEE0C44" w14:textId="44B4CE02" w:rsidR="00011F41" w:rsidRDefault="00011F41" w:rsidP="00267B0E">
            <w:pPr>
              <w:spacing w:line="360" w:lineRule="auto"/>
              <w:contextualSpacing/>
            </w:pPr>
            <w:r>
              <w:rPr>
                <w:lang w:val="es-MX"/>
              </w:rPr>
              <w:t>L</w:t>
            </w:r>
            <w:r w:rsidRPr="000B7A8E">
              <w:t xml:space="preserve">os informes generados por la Oficina de Control Interno fueron comunicados a los responsables - líderes de los procesos, a fin de que se tomaran las acciones de mejora correspondientes y los mismos se encuentran publicados en el sistema </w:t>
            </w:r>
            <w:r w:rsidR="0062696D" w:rsidRPr="000B7A8E">
              <w:t>Isolucion</w:t>
            </w:r>
            <w:r w:rsidR="00267B0E">
              <w:t>.</w:t>
            </w:r>
            <w:r w:rsidRPr="000B7A8E">
              <w:t xml:space="preserve"> </w:t>
            </w:r>
          </w:p>
          <w:p w14:paraId="49DB3A27" w14:textId="01A65CA0" w:rsidR="00267B0E" w:rsidRPr="00205606" w:rsidRDefault="00267B0E" w:rsidP="00267B0E">
            <w:pPr>
              <w:spacing w:line="360" w:lineRule="auto"/>
              <w:contextualSpacing/>
              <w:rPr>
                <w:b/>
              </w:rPr>
            </w:pPr>
          </w:p>
        </w:tc>
      </w:tr>
      <w:tr w:rsidR="00011F41" w:rsidRPr="00FD2262" w14:paraId="4503117C" w14:textId="77777777" w:rsidTr="00595FC2">
        <w:trPr>
          <w:trHeight w:val="1292"/>
        </w:trPr>
        <w:tc>
          <w:tcPr>
            <w:tcW w:w="9912" w:type="dxa"/>
            <w:gridSpan w:val="2"/>
          </w:tcPr>
          <w:p w14:paraId="295B6D3D" w14:textId="77777777" w:rsidR="00683206" w:rsidRDefault="00683206" w:rsidP="00595FC2">
            <w:pPr>
              <w:pStyle w:val="Prrafodelista"/>
              <w:ind w:left="0"/>
              <w:rPr>
                <w:b/>
                <w:sz w:val="22"/>
                <w:szCs w:val="22"/>
              </w:rPr>
            </w:pPr>
          </w:p>
          <w:p w14:paraId="56BA356E" w14:textId="52628A2B" w:rsidR="00011F41" w:rsidRDefault="00011F41" w:rsidP="00595FC2">
            <w:pPr>
              <w:pStyle w:val="Prrafodelista"/>
              <w:ind w:left="0"/>
              <w:rPr>
                <w:b/>
                <w:sz w:val="22"/>
                <w:szCs w:val="22"/>
              </w:rPr>
            </w:pPr>
            <w:r w:rsidRPr="00205606">
              <w:rPr>
                <w:b/>
                <w:sz w:val="22"/>
                <w:szCs w:val="22"/>
              </w:rPr>
              <w:t xml:space="preserve">7. </w:t>
            </w:r>
            <w:r>
              <w:rPr>
                <w:b/>
                <w:sz w:val="22"/>
                <w:szCs w:val="22"/>
              </w:rPr>
              <w:t>CONCLUSIONES</w:t>
            </w:r>
            <w:r w:rsidRPr="00205606">
              <w:rPr>
                <w:b/>
                <w:sz w:val="22"/>
                <w:szCs w:val="22"/>
              </w:rPr>
              <w:t xml:space="preserve"> Y RECOMENDACIONES</w:t>
            </w:r>
            <w:r>
              <w:rPr>
                <w:b/>
                <w:sz w:val="22"/>
                <w:szCs w:val="22"/>
              </w:rPr>
              <w:t>.</w:t>
            </w:r>
          </w:p>
          <w:p w14:paraId="40A0941A" w14:textId="77777777" w:rsidR="00011F41" w:rsidRDefault="00011F41" w:rsidP="00595FC2">
            <w:pPr>
              <w:pStyle w:val="Prrafodelista"/>
              <w:ind w:left="0"/>
              <w:rPr>
                <w:b/>
                <w:sz w:val="22"/>
                <w:szCs w:val="22"/>
              </w:rPr>
            </w:pPr>
          </w:p>
          <w:p w14:paraId="6B5E8CCC" w14:textId="34D87B00" w:rsidR="00011F41" w:rsidRDefault="00011F41" w:rsidP="00B46130">
            <w:pPr>
              <w:pStyle w:val="Prrafodelista"/>
              <w:numPr>
                <w:ilvl w:val="0"/>
                <w:numId w:val="49"/>
              </w:numPr>
              <w:autoSpaceDE/>
              <w:autoSpaceDN/>
              <w:adjustRightInd/>
              <w:spacing w:after="200" w:line="360" w:lineRule="auto"/>
              <w:rPr>
                <w:sz w:val="22"/>
                <w:szCs w:val="22"/>
              </w:rPr>
            </w:pPr>
            <w:r w:rsidRPr="00D37A0C">
              <w:rPr>
                <w:sz w:val="22"/>
                <w:szCs w:val="22"/>
              </w:rPr>
              <w:t xml:space="preserve">La </w:t>
            </w:r>
            <w:r>
              <w:rPr>
                <w:sz w:val="22"/>
                <w:szCs w:val="22"/>
              </w:rPr>
              <w:t>O</w:t>
            </w:r>
            <w:r w:rsidRPr="00D37A0C">
              <w:rPr>
                <w:sz w:val="22"/>
                <w:szCs w:val="22"/>
              </w:rPr>
              <w:t xml:space="preserve">ficina de </w:t>
            </w:r>
            <w:r>
              <w:rPr>
                <w:sz w:val="22"/>
                <w:szCs w:val="22"/>
              </w:rPr>
              <w:t xml:space="preserve">Control Interno presenta </w:t>
            </w:r>
            <w:r w:rsidRPr="00D37A0C">
              <w:rPr>
                <w:sz w:val="22"/>
                <w:szCs w:val="22"/>
              </w:rPr>
              <w:t xml:space="preserve">cumplimiento en la ejecución de las auditorías establecidas en el Plan </w:t>
            </w:r>
            <w:r>
              <w:rPr>
                <w:sz w:val="22"/>
                <w:szCs w:val="22"/>
              </w:rPr>
              <w:t>Anual de Auditoría 202</w:t>
            </w:r>
            <w:r w:rsidR="00A03838">
              <w:rPr>
                <w:sz w:val="22"/>
                <w:szCs w:val="22"/>
              </w:rPr>
              <w:t>3</w:t>
            </w:r>
            <w:r>
              <w:rPr>
                <w:sz w:val="22"/>
                <w:szCs w:val="22"/>
              </w:rPr>
              <w:t xml:space="preserve"> para e</w:t>
            </w:r>
            <w:r w:rsidRPr="00D37A0C">
              <w:rPr>
                <w:sz w:val="22"/>
                <w:szCs w:val="22"/>
              </w:rPr>
              <w:t xml:space="preserve">l </w:t>
            </w:r>
            <w:r w:rsidR="00033D09">
              <w:rPr>
                <w:sz w:val="22"/>
                <w:szCs w:val="22"/>
              </w:rPr>
              <w:t>primer</w:t>
            </w:r>
            <w:r w:rsidRPr="00D37A0C">
              <w:rPr>
                <w:sz w:val="22"/>
                <w:szCs w:val="22"/>
              </w:rPr>
              <w:t xml:space="preserve"> </w:t>
            </w:r>
            <w:r>
              <w:rPr>
                <w:sz w:val="22"/>
                <w:szCs w:val="22"/>
              </w:rPr>
              <w:t>trimestre del año 202</w:t>
            </w:r>
            <w:r w:rsidR="00A03838">
              <w:rPr>
                <w:sz w:val="22"/>
                <w:szCs w:val="22"/>
              </w:rPr>
              <w:t>3</w:t>
            </w:r>
            <w:r>
              <w:rPr>
                <w:sz w:val="22"/>
                <w:szCs w:val="22"/>
              </w:rPr>
              <w:t>.</w:t>
            </w:r>
          </w:p>
          <w:p w14:paraId="254C68C5" w14:textId="77777777" w:rsidR="00011F41" w:rsidRDefault="00011F41" w:rsidP="00595FC2">
            <w:pPr>
              <w:pStyle w:val="Prrafodelista"/>
              <w:ind w:left="447"/>
              <w:rPr>
                <w:sz w:val="22"/>
                <w:szCs w:val="22"/>
              </w:rPr>
            </w:pPr>
          </w:p>
          <w:p w14:paraId="7F5C0E60" w14:textId="77777777" w:rsidR="00011F41" w:rsidRDefault="00011F41" w:rsidP="00B46130">
            <w:pPr>
              <w:pStyle w:val="Prrafodelista"/>
              <w:numPr>
                <w:ilvl w:val="0"/>
                <w:numId w:val="49"/>
              </w:numPr>
              <w:autoSpaceDE/>
              <w:autoSpaceDN/>
              <w:adjustRightInd/>
              <w:spacing w:after="200" w:line="360" w:lineRule="auto"/>
              <w:rPr>
                <w:sz w:val="22"/>
                <w:szCs w:val="22"/>
              </w:rPr>
            </w:pPr>
            <w:r w:rsidRPr="00320C09">
              <w:rPr>
                <w:sz w:val="22"/>
                <w:szCs w:val="22"/>
              </w:rPr>
              <w:t xml:space="preserve">Como se evidencia en los informes realizados de las auditorías </w:t>
            </w:r>
            <w:r>
              <w:rPr>
                <w:sz w:val="22"/>
                <w:szCs w:val="22"/>
              </w:rPr>
              <w:t>se identificaron</w:t>
            </w:r>
            <w:r w:rsidRPr="00320C09">
              <w:rPr>
                <w:sz w:val="22"/>
                <w:szCs w:val="22"/>
              </w:rPr>
              <w:t xml:space="preserve"> situaciones </w:t>
            </w:r>
            <w:r>
              <w:rPr>
                <w:sz w:val="22"/>
                <w:szCs w:val="22"/>
              </w:rPr>
              <w:t xml:space="preserve">que corresponden a hallazgos y oportunidades de mejora, </w:t>
            </w:r>
            <w:r w:rsidRPr="00320C09">
              <w:rPr>
                <w:sz w:val="22"/>
                <w:szCs w:val="22"/>
              </w:rPr>
              <w:t>que con la efectividad en las medidas que se tomen en los procesos por parte de sus líderes y grupos de trabajo como</w:t>
            </w:r>
            <w:r>
              <w:rPr>
                <w:sz w:val="22"/>
                <w:szCs w:val="22"/>
              </w:rPr>
              <w:t xml:space="preserve"> respuesta a las mismas</w:t>
            </w:r>
            <w:r w:rsidRPr="00320C09">
              <w:rPr>
                <w:sz w:val="22"/>
                <w:szCs w:val="22"/>
              </w:rPr>
              <w:t xml:space="preserve"> contribuyen con la mejora continua a través del fortalecimiento de los procesos del Sistema Integrado de Gestión. </w:t>
            </w:r>
          </w:p>
          <w:p w14:paraId="09A07DA7" w14:textId="77777777" w:rsidR="00011F41" w:rsidRPr="004400F3" w:rsidRDefault="00011F41" w:rsidP="00595FC2">
            <w:pPr>
              <w:pStyle w:val="Prrafodelista"/>
              <w:rPr>
                <w:sz w:val="22"/>
                <w:szCs w:val="22"/>
              </w:rPr>
            </w:pPr>
          </w:p>
          <w:p w14:paraId="6D011E0C" w14:textId="77777777" w:rsidR="00011F41" w:rsidRPr="00C53CC2" w:rsidRDefault="00011F41" w:rsidP="00B46130">
            <w:pPr>
              <w:pStyle w:val="Prrafodelista"/>
              <w:numPr>
                <w:ilvl w:val="0"/>
                <w:numId w:val="49"/>
              </w:numPr>
              <w:autoSpaceDE/>
              <w:autoSpaceDN/>
              <w:adjustRightInd/>
              <w:spacing w:after="200" w:line="360" w:lineRule="auto"/>
              <w:rPr>
                <w:sz w:val="22"/>
                <w:szCs w:val="22"/>
              </w:rPr>
            </w:pPr>
            <w:r w:rsidRPr="000B7A8E">
              <w:rPr>
                <w:sz w:val="22"/>
                <w:szCs w:val="22"/>
              </w:rPr>
              <w:t>Se hace necesario que los</w:t>
            </w:r>
            <w:r>
              <w:rPr>
                <w:sz w:val="22"/>
                <w:szCs w:val="22"/>
              </w:rPr>
              <w:t xml:space="preserve"> p</w:t>
            </w:r>
            <w:r w:rsidRPr="000B7A8E">
              <w:rPr>
                <w:sz w:val="22"/>
                <w:szCs w:val="22"/>
              </w:rPr>
              <w:t>lan</w:t>
            </w:r>
            <w:r>
              <w:rPr>
                <w:sz w:val="22"/>
                <w:szCs w:val="22"/>
              </w:rPr>
              <w:t>es de m</w:t>
            </w:r>
            <w:r w:rsidRPr="000B7A8E">
              <w:rPr>
                <w:sz w:val="22"/>
                <w:szCs w:val="22"/>
              </w:rPr>
              <w:t xml:space="preserve">ejoramiento </w:t>
            </w:r>
            <w:r>
              <w:rPr>
                <w:sz w:val="22"/>
                <w:szCs w:val="22"/>
              </w:rPr>
              <w:t xml:space="preserve">a implementar se </w:t>
            </w:r>
            <w:r>
              <w:rPr>
                <w:bCs/>
                <w:sz w:val="22"/>
                <w:szCs w:val="22"/>
              </w:rPr>
              <w:t>realicen oportunamente y con</w:t>
            </w:r>
            <w:r w:rsidRPr="000B7A8E">
              <w:rPr>
                <w:bCs/>
                <w:sz w:val="22"/>
                <w:szCs w:val="22"/>
              </w:rPr>
              <w:t xml:space="preserve"> </w:t>
            </w:r>
            <w:r>
              <w:rPr>
                <w:bCs/>
                <w:sz w:val="22"/>
                <w:szCs w:val="22"/>
              </w:rPr>
              <w:t xml:space="preserve">un </w:t>
            </w:r>
            <w:r w:rsidRPr="000B7A8E">
              <w:rPr>
                <w:bCs/>
                <w:sz w:val="22"/>
                <w:szCs w:val="22"/>
              </w:rPr>
              <w:t xml:space="preserve">adecuado análisis de causas que originan las situaciones identificadas en los hallazgos y oportunidades de mejora, </w:t>
            </w:r>
            <w:r>
              <w:rPr>
                <w:bCs/>
                <w:sz w:val="22"/>
                <w:szCs w:val="22"/>
              </w:rPr>
              <w:t xml:space="preserve">para así </w:t>
            </w:r>
            <w:r w:rsidRPr="000B7A8E">
              <w:rPr>
                <w:bCs/>
                <w:sz w:val="22"/>
                <w:szCs w:val="22"/>
              </w:rPr>
              <w:t>estable</w:t>
            </w:r>
            <w:r>
              <w:rPr>
                <w:bCs/>
                <w:sz w:val="22"/>
                <w:szCs w:val="22"/>
              </w:rPr>
              <w:t>cer</w:t>
            </w:r>
            <w:r w:rsidRPr="000B7A8E">
              <w:rPr>
                <w:bCs/>
                <w:sz w:val="22"/>
                <w:szCs w:val="22"/>
              </w:rPr>
              <w:t xml:space="preserve"> las acciones</w:t>
            </w:r>
            <w:r>
              <w:rPr>
                <w:bCs/>
                <w:sz w:val="22"/>
                <w:szCs w:val="22"/>
              </w:rPr>
              <w:t xml:space="preserve"> de mejora</w:t>
            </w:r>
            <w:r w:rsidRPr="000B7A8E">
              <w:rPr>
                <w:sz w:val="22"/>
                <w:szCs w:val="22"/>
              </w:rPr>
              <w:t xml:space="preserve"> </w:t>
            </w:r>
            <w:r w:rsidRPr="000B7A8E">
              <w:rPr>
                <w:bCs/>
                <w:sz w:val="22"/>
                <w:szCs w:val="22"/>
              </w:rPr>
              <w:t>pertinentes y encaminadas a eliminar dichas causas, de tal manera que no se vuelvan a presentar y se pueda subsanar l</w:t>
            </w:r>
            <w:r>
              <w:rPr>
                <w:bCs/>
                <w:sz w:val="22"/>
                <w:szCs w:val="22"/>
              </w:rPr>
              <w:t>o</w:t>
            </w:r>
            <w:r w:rsidRPr="000B7A8E">
              <w:rPr>
                <w:bCs/>
                <w:sz w:val="22"/>
                <w:szCs w:val="22"/>
              </w:rPr>
              <w:t xml:space="preserve"> identificado por la Oficina de Control Interno. </w:t>
            </w:r>
          </w:p>
          <w:p w14:paraId="5EEA9CE8" w14:textId="77777777" w:rsidR="00011F41" w:rsidRPr="00C53CC2" w:rsidRDefault="00011F41" w:rsidP="00595FC2">
            <w:pPr>
              <w:pStyle w:val="Prrafodelista"/>
              <w:rPr>
                <w:sz w:val="22"/>
                <w:szCs w:val="22"/>
              </w:rPr>
            </w:pPr>
          </w:p>
          <w:p w14:paraId="69925582" w14:textId="5067A2A4" w:rsidR="00011F41" w:rsidRPr="000B7A8E" w:rsidRDefault="006E27DE" w:rsidP="00595FC2">
            <w:pPr>
              <w:pStyle w:val="Prrafodelista"/>
              <w:spacing w:line="360" w:lineRule="auto"/>
              <w:ind w:left="447"/>
              <w:rPr>
                <w:sz w:val="22"/>
                <w:szCs w:val="22"/>
              </w:rPr>
            </w:pPr>
            <w:r>
              <w:rPr>
                <w:sz w:val="22"/>
                <w:szCs w:val="22"/>
              </w:rPr>
              <w:t xml:space="preserve">Así </w:t>
            </w:r>
            <w:r w:rsidR="00011F41">
              <w:rPr>
                <w:sz w:val="22"/>
                <w:szCs w:val="22"/>
              </w:rPr>
              <w:t xml:space="preserve">mismo, se </w:t>
            </w:r>
            <w:r>
              <w:rPr>
                <w:sz w:val="22"/>
                <w:szCs w:val="22"/>
              </w:rPr>
              <w:t>recomienda</w:t>
            </w:r>
            <w:r w:rsidR="00011F41">
              <w:rPr>
                <w:sz w:val="22"/>
                <w:szCs w:val="22"/>
              </w:rPr>
              <w:t xml:space="preserve"> que los responsables de los</w:t>
            </w:r>
            <w:r w:rsidR="00011F41" w:rsidRPr="000B7A8E">
              <w:rPr>
                <w:sz w:val="22"/>
                <w:szCs w:val="22"/>
              </w:rPr>
              <w:t xml:space="preserve"> proceso</w:t>
            </w:r>
            <w:r w:rsidR="00011F41">
              <w:rPr>
                <w:sz w:val="22"/>
                <w:szCs w:val="22"/>
              </w:rPr>
              <w:t>s</w:t>
            </w:r>
            <w:r w:rsidR="00011F41" w:rsidRPr="000B7A8E">
              <w:rPr>
                <w:sz w:val="22"/>
                <w:szCs w:val="22"/>
              </w:rPr>
              <w:t xml:space="preserve"> determine</w:t>
            </w:r>
            <w:r w:rsidR="00011F41">
              <w:rPr>
                <w:sz w:val="22"/>
                <w:szCs w:val="22"/>
              </w:rPr>
              <w:t>n</w:t>
            </w:r>
            <w:r w:rsidR="00011F41" w:rsidRPr="000B7A8E">
              <w:rPr>
                <w:sz w:val="22"/>
                <w:szCs w:val="22"/>
              </w:rPr>
              <w:t xml:space="preserve"> los aspectos a mejorar de acuerdo con las recomendaciones de la OCI. </w:t>
            </w:r>
          </w:p>
          <w:p w14:paraId="2DE74547" w14:textId="77777777" w:rsidR="00011F41" w:rsidRDefault="00011F41" w:rsidP="00595FC2">
            <w:pPr>
              <w:pStyle w:val="Prrafodelista"/>
              <w:ind w:left="0"/>
              <w:rPr>
                <w:b/>
                <w:sz w:val="22"/>
                <w:szCs w:val="22"/>
                <w:lang w:val="es-ES"/>
              </w:rPr>
            </w:pPr>
          </w:p>
          <w:p w14:paraId="1C598199" w14:textId="3AA0F847" w:rsidR="00011F41" w:rsidRDefault="00011F41" w:rsidP="00B46130">
            <w:pPr>
              <w:pStyle w:val="Prrafodelista"/>
              <w:numPr>
                <w:ilvl w:val="0"/>
                <w:numId w:val="50"/>
              </w:numPr>
              <w:autoSpaceDE/>
              <w:autoSpaceDN/>
              <w:adjustRightInd/>
              <w:spacing w:after="200" w:line="360" w:lineRule="auto"/>
              <w:rPr>
                <w:bCs/>
                <w:sz w:val="22"/>
                <w:szCs w:val="22"/>
              </w:rPr>
            </w:pPr>
            <w:r>
              <w:rPr>
                <w:bCs/>
                <w:sz w:val="22"/>
                <w:szCs w:val="22"/>
              </w:rPr>
              <w:lastRenderedPageBreak/>
              <w:t>Se i</w:t>
            </w:r>
            <w:r w:rsidRPr="00F57D88">
              <w:rPr>
                <w:bCs/>
                <w:sz w:val="22"/>
                <w:szCs w:val="22"/>
              </w:rPr>
              <w:t>nvit</w:t>
            </w:r>
            <w:r>
              <w:rPr>
                <w:bCs/>
                <w:sz w:val="22"/>
                <w:szCs w:val="22"/>
              </w:rPr>
              <w:t>a</w:t>
            </w:r>
            <w:r w:rsidRPr="00F57D88">
              <w:rPr>
                <w:bCs/>
                <w:sz w:val="22"/>
                <w:szCs w:val="22"/>
              </w:rPr>
              <w:t xml:space="preserve"> a los líderes de cada dependencia a impartir al interior de su área las instrucciones y reco</w:t>
            </w:r>
            <w:r w:rsidR="006E27DE">
              <w:rPr>
                <w:bCs/>
                <w:sz w:val="22"/>
                <w:szCs w:val="22"/>
              </w:rPr>
              <w:t xml:space="preserve">mendaciones necesarias para </w:t>
            </w:r>
            <w:r w:rsidRPr="00F57D88">
              <w:rPr>
                <w:bCs/>
                <w:sz w:val="22"/>
                <w:szCs w:val="22"/>
              </w:rPr>
              <w:t xml:space="preserve">garantizar </w:t>
            </w:r>
            <w:r>
              <w:rPr>
                <w:bCs/>
                <w:sz w:val="22"/>
                <w:szCs w:val="22"/>
              </w:rPr>
              <w:t xml:space="preserve">la implementación de las actividades documentadas en los procedimientos, controles y normas aplicables que </w:t>
            </w:r>
            <w:r w:rsidR="006E27DE">
              <w:rPr>
                <w:bCs/>
                <w:sz w:val="22"/>
                <w:szCs w:val="22"/>
              </w:rPr>
              <w:t>conduzcan</w:t>
            </w:r>
            <w:r>
              <w:rPr>
                <w:bCs/>
                <w:sz w:val="22"/>
                <w:szCs w:val="22"/>
              </w:rPr>
              <w:t xml:space="preserve"> al cumplimiento de </w:t>
            </w:r>
            <w:r w:rsidR="00A03838">
              <w:rPr>
                <w:bCs/>
                <w:sz w:val="22"/>
                <w:szCs w:val="22"/>
              </w:rPr>
              <w:t>estos</w:t>
            </w:r>
            <w:r>
              <w:rPr>
                <w:bCs/>
                <w:sz w:val="22"/>
                <w:szCs w:val="22"/>
              </w:rPr>
              <w:t>.</w:t>
            </w:r>
            <w:r w:rsidRPr="00F57D88">
              <w:rPr>
                <w:bCs/>
                <w:sz w:val="22"/>
                <w:szCs w:val="22"/>
              </w:rPr>
              <w:t xml:space="preserve"> </w:t>
            </w:r>
            <w:bookmarkStart w:id="1" w:name="_GoBack"/>
            <w:bookmarkEnd w:id="1"/>
          </w:p>
          <w:p w14:paraId="30CD8507" w14:textId="77777777" w:rsidR="00011F41" w:rsidRDefault="00011F41" w:rsidP="00595FC2">
            <w:pPr>
              <w:pStyle w:val="Prrafodelista"/>
              <w:spacing w:line="360" w:lineRule="auto"/>
              <w:ind w:left="0"/>
              <w:rPr>
                <w:b/>
                <w:sz w:val="22"/>
                <w:szCs w:val="22"/>
              </w:rPr>
            </w:pPr>
          </w:p>
          <w:p w14:paraId="57752B18" w14:textId="746D0A2B" w:rsidR="00011F41" w:rsidRPr="00FD2262" w:rsidRDefault="00011F41" w:rsidP="006E27DE">
            <w:pPr>
              <w:pStyle w:val="Prrafodelista"/>
              <w:spacing w:line="360" w:lineRule="auto"/>
              <w:ind w:left="0"/>
              <w:rPr>
                <w:sz w:val="22"/>
                <w:szCs w:val="22"/>
              </w:rPr>
            </w:pPr>
            <w:r w:rsidRPr="00FD2262">
              <w:rPr>
                <w:b/>
                <w:sz w:val="22"/>
                <w:szCs w:val="22"/>
              </w:rPr>
              <w:t>Nota.</w:t>
            </w:r>
            <w:r w:rsidRPr="00FD2262">
              <w:rPr>
                <w:sz w:val="22"/>
                <w:szCs w:val="22"/>
              </w:rPr>
              <w:t xml:space="preserve"> Es necesario aclarar que las recomendaciones propuestas por la Oficina de Control Interno en ningún caso son de obligatoria ejecución por parte de la Entidad, no obstante, se </w:t>
            </w:r>
            <w:r w:rsidR="006E27DE">
              <w:rPr>
                <w:sz w:val="22"/>
                <w:szCs w:val="22"/>
              </w:rPr>
              <w:t>sugiere</w:t>
            </w:r>
            <w:r w:rsidRPr="00FD2262">
              <w:rPr>
                <w:sz w:val="22"/>
                <w:szCs w:val="22"/>
              </w:rPr>
              <w:t xml:space="preserve"> su consideración para los planes de mejoramiento a que haya lugar.</w:t>
            </w:r>
          </w:p>
        </w:tc>
      </w:tr>
    </w:tbl>
    <w:p w14:paraId="035C3DF3" w14:textId="77777777" w:rsidR="009D54CD" w:rsidRDefault="009D54CD" w:rsidP="004462DC">
      <w:pPr>
        <w:rPr>
          <w:lang w:val="es-ES"/>
        </w:rPr>
      </w:pPr>
    </w:p>
    <w:p w14:paraId="11129FBC" w14:textId="77777777" w:rsidR="00011F41" w:rsidRDefault="00011F41" w:rsidP="00011F41">
      <w:pPr>
        <w:rPr>
          <w:b/>
        </w:rPr>
      </w:pPr>
    </w:p>
    <w:p w14:paraId="7CA45ED9" w14:textId="77777777" w:rsidR="00683206" w:rsidRDefault="00683206" w:rsidP="00011F41">
      <w:pPr>
        <w:rPr>
          <w:b/>
        </w:rPr>
      </w:pPr>
    </w:p>
    <w:p w14:paraId="12E0A001" w14:textId="77777777" w:rsidR="00683206" w:rsidRDefault="00683206" w:rsidP="00011F41">
      <w:pPr>
        <w:rPr>
          <w:b/>
        </w:rPr>
      </w:pPr>
    </w:p>
    <w:p w14:paraId="6206C232" w14:textId="77777777" w:rsidR="00683206" w:rsidRDefault="00683206" w:rsidP="00011F41">
      <w:pPr>
        <w:rPr>
          <w:b/>
        </w:rPr>
      </w:pPr>
    </w:p>
    <w:bookmarkEnd w:id="0"/>
    <w:p w14:paraId="1B5A904B" w14:textId="77777777" w:rsidR="00145627" w:rsidRDefault="00145627" w:rsidP="00145627">
      <w:pPr>
        <w:rPr>
          <w:bCs/>
        </w:rPr>
      </w:pPr>
      <w:r w:rsidRPr="004B5BB3">
        <w:rPr>
          <w:bCs/>
        </w:rPr>
        <w:t xml:space="preserve">Atentamente, </w:t>
      </w:r>
    </w:p>
    <w:p w14:paraId="7C5E3C86" w14:textId="77777777" w:rsidR="00145627" w:rsidRDefault="00145627" w:rsidP="00145627">
      <w:pPr>
        <w:ind w:left="466"/>
        <w:rPr>
          <w:bCs/>
        </w:rPr>
      </w:pPr>
    </w:p>
    <w:p w14:paraId="4644D21F" w14:textId="77777777" w:rsidR="00145627" w:rsidRDefault="00145627" w:rsidP="00145627">
      <w:pPr>
        <w:ind w:left="466"/>
        <w:rPr>
          <w:bCs/>
        </w:rPr>
      </w:pPr>
    </w:p>
    <w:p w14:paraId="593DC966" w14:textId="77777777" w:rsidR="00145627" w:rsidRDefault="00145627" w:rsidP="00145627">
      <w:pPr>
        <w:ind w:left="466"/>
        <w:rPr>
          <w:bCs/>
        </w:rPr>
      </w:pPr>
    </w:p>
    <w:p w14:paraId="32643B9A" w14:textId="77777777" w:rsidR="00145627" w:rsidRDefault="00145627" w:rsidP="00145627">
      <w:pPr>
        <w:ind w:left="466"/>
        <w:rPr>
          <w:bCs/>
        </w:rPr>
      </w:pPr>
    </w:p>
    <w:p w14:paraId="4A4F4BDA" w14:textId="77777777" w:rsidR="00145627" w:rsidRPr="005A78FB" w:rsidRDefault="00145627" w:rsidP="00145627">
      <w:pPr>
        <w:ind w:left="466"/>
        <w:rPr>
          <w:b/>
          <w:bCs/>
        </w:rPr>
      </w:pPr>
    </w:p>
    <w:p w14:paraId="5F1DB9EB" w14:textId="77777777" w:rsidR="00145627" w:rsidRPr="005A78FB" w:rsidRDefault="00145627" w:rsidP="00145627">
      <w:pPr>
        <w:rPr>
          <w:b/>
          <w:bCs/>
        </w:rPr>
      </w:pPr>
      <w:r w:rsidRPr="005A78FB">
        <w:rPr>
          <w:b/>
          <w:bCs/>
        </w:rPr>
        <w:t>JOSÉ WILLIAM CASALLAS FANDIÑO</w:t>
      </w:r>
    </w:p>
    <w:p w14:paraId="12725067" w14:textId="77777777" w:rsidR="00145627" w:rsidRDefault="00145627" w:rsidP="00145627">
      <w:pPr>
        <w:rPr>
          <w:bCs/>
        </w:rPr>
      </w:pPr>
      <w:r w:rsidRPr="00F87129">
        <w:rPr>
          <w:bCs/>
        </w:rPr>
        <w:t>Jefe Oficina de Control Interno</w:t>
      </w:r>
    </w:p>
    <w:p w14:paraId="468345B3" w14:textId="77777777" w:rsidR="00145627" w:rsidRDefault="00145627" w:rsidP="00145627">
      <w:pPr>
        <w:ind w:left="466"/>
        <w:rPr>
          <w:bCs/>
          <w:sz w:val="18"/>
        </w:rPr>
      </w:pPr>
    </w:p>
    <w:p w14:paraId="3515CC67" w14:textId="77777777" w:rsidR="00145627" w:rsidRDefault="00145627" w:rsidP="00145627">
      <w:pPr>
        <w:ind w:left="466"/>
        <w:rPr>
          <w:bCs/>
          <w:sz w:val="18"/>
        </w:rPr>
      </w:pPr>
    </w:p>
    <w:p w14:paraId="204F663C" w14:textId="77777777" w:rsidR="00145627" w:rsidRDefault="00145627" w:rsidP="00145627">
      <w:pPr>
        <w:rPr>
          <w:bCs/>
          <w:sz w:val="18"/>
        </w:rPr>
      </w:pPr>
      <w:r w:rsidRPr="002F04ED">
        <w:rPr>
          <w:bCs/>
          <w:sz w:val="18"/>
        </w:rPr>
        <w:t xml:space="preserve">Elaboro: </w:t>
      </w:r>
      <w:r>
        <w:rPr>
          <w:bCs/>
          <w:sz w:val="18"/>
        </w:rPr>
        <w:t>Mónica Gicella Ruiz Soto</w:t>
      </w:r>
      <w:r w:rsidRPr="002F04ED">
        <w:rPr>
          <w:bCs/>
          <w:sz w:val="18"/>
        </w:rPr>
        <w:t>.</w:t>
      </w:r>
    </w:p>
    <w:p w14:paraId="2111C4F8" w14:textId="46232AD5" w:rsidR="00145627" w:rsidRDefault="00145627" w:rsidP="00145627">
      <w:pPr>
        <w:ind w:left="466"/>
        <w:rPr>
          <w:bCs/>
          <w:sz w:val="18"/>
        </w:rPr>
      </w:pPr>
      <w:r>
        <w:rPr>
          <w:bCs/>
          <w:sz w:val="18"/>
        </w:rPr>
        <w:t xml:space="preserve">     Profesional Universitario</w:t>
      </w:r>
    </w:p>
    <w:p w14:paraId="14E82A38" w14:textId="4891C5B5" w:rsidR="005F2798" w:rsidRDefault="005F2798" w:rsidP="00145627">
      <w:pPr>
        <w:rPr>
          <w:lang w:val="es-ES"/>
        </w:rPr>
      </w:pPr>
    </w:p>
    <w:sectPr w:rsidR="005F2798" w:rsidSect="00794F79">
      <w:headerReference w:type="default" r:id="rId24"/>
      <w:footerReference w:type="default" r:id="rId25"/>
      <w:type w:val="continuous"/>
      <w:pgSz w:w="12240" w:h="15840" w:code="1"/>
      <w:pgMar w:top="1701" w:right="1361" w:bottom="1701" w:left="136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FEB0FB" w14:textId="77777777" w:rsidR="001B0E44" w:rsidRDefault="001B0E44" w:rsidP="004462DC">
      <w:r>
        <w:separator/>
      </w:r>
    </w:p>
  </w:endnote>
  <w:endnote w:type="continuationSeparator" w:id="0">
    <w:p w14:paraId="106F0DFE" w14:textId="77777777" w:rsidR="001B0E44" w:rsidRDefault="001B0E44"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CECD5" w14:textId="7D1A983A" w:rsidR="00A21BFC" w:rsidRPr="00C47359" w:rsidRDefault="00A21BFC" w:rsidP="00A21BFC">
    <w:pPr>
      <w:pStyle w:val="Piedepgina"/>
      <w:jc w:val="right"/>
      <w:rPr>
        <w:rFonts w:ascii="Cambria" w:hAnsi="Cambria"/>
      </w:rPr>
    </w:pPr>
    <w:r w:rsidRPr="00C47359">
      <w:rPr>
        <w:rFonts w:ascii="Cambria" w:hAnsi="Cambria"/>
      </w:rPr>
      <w:t xml:space="preserve">   </w:t>
    </w:r>
  </w:p>
  <w:p w14:paraId="6D74FD84" w14:textId="399D8DFE" w:rsidR="00A35076" w:rsidRPr="009A3ABF" w:rsidRDefault="00794F79" w:rsidP="00A35076">
    <w:pPr>
      <w:spacing w:line="240" w:lineRule="exact"/>
      <w:rPr>
        <w:sz w:val="8"/>
        <w:szCs w:val="8"/>
      </w:rPr>
    </w:pPr>
    <w:r>
      <w:rPr>
        <w:noProof/>
        <w:sz w:val="13"/>
        <w:szCs w:val="13"/>
        <w:lang w:eastAsia="es-CO"/>
      </w:rPr>
      <w:drawing>
        <wp:anchor distT="0" distB="0" distL="114300" distR="114300" simplePos="0" relativeHeight="251673600" behindDoc="1" locked="0" layoutInCell="1" allowOverlap="1" wp14:anchorId="1A52EF0C" wp14:editId="12BD66D1">
          <wp:simplePos x="0" y="0"/>
          <wp:positionH relativeFrom="column">
            <wp:posOffset>5519420</wp:posOffset>
          </wp:positionH>
          <wp:positionV relativeFrom="paragraph">
            <wp:posOffset>146685</wp:posOffset>
          </wp:positionV>
          <wp:extent cx="690245" cy="690245"/>
          <wp:effectExtent l="0" t="0" r="0" b="0"/>
          <wp:wrapTight wrapText="bothSides">
            <wp:wrapPolygon edited="0">
              <wp:start x="0" y="0"/>
              <wp:lineTo x="0" y="21063"/>
              <wp:lineTo x="21063" y="21063"/>
              <wp:lineTo x="21063"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90245" cy="690245"/>
                  </a:xfrm>
                  <a:prstGeom prst="rect">
                    <a:avLst/>
                  </a:prstGeom>
                </pic:spPr>
              </pic:pic>
            </a:graphicData>
          </a:graphic>
          <wp14:sizeRelH relativeFrom="page">
            <wp14:pctWidth>0</wp14:pctWidth>
          </wp14:sizeRelH>
          <wp14:sizeRelV relativeFrom="page">
            <wp14:pctHeight>0</wp14:pctHeight>
          </wp14:sizeRelV>
        </wp:anchor>
      </w:drawing>
    </w:r>
    <w:r w:rsidR="00A35076" w:rsidRPr="009A3ABF">
      <w:rPr>
        <w:sz w:val="18"/>
        <w:szCs w:val="18"/>
        <w:shd w:val="clear" w:color="auto" w:fill="FFFFFF"/>
      </w:rPr>
      <w:t>Línea Atención al Ciudadano +57 (601) 3487777</w:t>
    </w:r>
  </w:p>
  <w:p w14:paraId="5DCCF153" w14:textId="464E8F6F" w:rsidR="00794F79" w:rsidRPr="009A3ABF" w:rsidRDefault="00794F79" w:rsidP="00794F79">
    <w:pPr>
      <w:spacing w:line="240" w:lineRule="exact"/>
      <w:rPr>
        <w:sz w:val="18"/>
        <w:szCs w:val="18"/>
        <w:shd w:val="clear" w:color="auto" w:fill="FFFFFF"/>
      </w:rPr>
    </w:pPr>
    <w:r w:rsidRPr="009A3ABF">
      <w:rPr>
        <w:sz w:val="18"/>
        <w:szCs w:val="18"/>
        <w:shd w:val="clear" w:color="auto" w:fill="FFFFFF"/>
      </w:rPr>
      <w:t xml:space="preserve">Línea Gratuita Nacional </w:t>
    </w:r>
    <w:r>
      <w:rPr>
        <w:sz w:val="18"/>
        <w:szCs w:val="18"/>
        <w:shd w:val="clear" w:color="auto" w:fill="FFFFFF"/>
      </w:rPr>
      <w:t xml:space="preserve">018000 </w:t>
    </w:r>
    <w:r w:rsidRPr="009A3ABF">
      <w:rPr>
        <w:sz w:val="18"/>
        <w:szCs w:val="18"/>
        <w:shd w:val="clear" w:color="auto" w:fill="FFFFFF"/>
      </w:rPr>
      <w:t>910</w:t>
    </w:r>
    <w:r>
      <w:rPr>
        <w:sz w:val="18"/>
        <w:szCs w:val="18"/>
        <w:shd w:val="clear" w:color="auto" w:fill="FFFFFF"/>
      </w:rPr>
      <w:t xml:space="preserve"> </w:t>
    </w:r>
    <w:r w:rsidRPr="009A3ABF">
      <w:rPr>
        <w:sz w:val="18"/>
        <w:szCs w:val="18"/>
        <w:shd w:val="clear" w:color="auto" w:fill="FFFFFF"/>
      </w:rPr>
      <w:t>110</w:t>
    </w:r>
  </w:p>
  <w:p w14:paraId="6471F2BF" w14:textId="54F8A706" w:rsidR="00A35076" w:rsidRPr="002B07EF" w:rsidRDefault="00794F79" w:rsidP="00A35076">
    <w:pPr>
      <w:spacing w:line="240" w:lineRule="exact"/>
      <w:rPr>
        <w:sz w:val="18"/>
        <w:szCs w:val="18"/>
        <w:shd w:val="clear" w:color="auto" w:fill="FFFFFF"/>
      </w:rPr>
    </w:pPr>
    <w:r w:rsidRPr="009A3ABF">
      <w:rPr>
        <w:noProof/>
        <w:sz w:val="16"/>
        <w:szCs w:val="16"/>
        <w:lang w:eastAsia="es-CO"/>
      </w:rPr>
      <w:drawing>
        <wp:anchor distT="0" distB="0" distL="114300" distR="114300" simplePos="0" relativeHeight="251668480" behindDoc="1" locked="0" layoutInCell="1" allowOverlap="1" wp14:anchorId="673467DF" wp14:editId="6C11D6AB">
          <wp:simplePos x="0" y="0"/>
          <wp:positionH relativeFrom="column">
            <wp:posOffset>4451350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69504" behindDoc="1" locked="0" layoutInCell="1" allowOverlap="1" wp14:anchorId="658773F6" wp14:editId="3946CC21">
          <wp:simplePos x="0" y="0"/>
          <wp:positionH relativeFrom="column">
            <wp:posOffset>4770755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67456" behindDoc="1" locked="0" layoutInCell="1" allowOverlap="1" wp14:anchorId="778B2A5E" wp14:editId="68FFD2CC">
          <wp:simplePos x="0" y="0"/>
          <wp:positionH relativeFrom="column">
            <wp:posOffset>4130675</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Pr="009A3ABF">
      <w:rPr>
        <w:noProof/>
        <w:sz w:val="16"/>
        <w:szCs w:val="16"/>
        <w:lang w:eastAsia="es-CO"/>
      </w:rPr>
      <w:drawing>
        <wp:anchor distT="0" distB="0" distL="114300" distR="114300" simplePos="0" relativeHeight="251670528" behindDoc="1" locked="0" layoutInCell="1" allowOverlap="1" wp14:anchorId="3BCBA90A" wp14:editId="2696B152">
          <wp:simplePos x="0" y="0"/>
          <wp:positionH relativeFrom="column">
            <wp:posOffset>5093970</wp:posOffset>
          </wp:positionH>
          <wp:positionV relativeFrom="paragraph">
            <wp:posOffset>17780</wp:posOffset>
          </wp:positionV>
          <wp:extent cx="250825" cy="250825"/>
          <wp:effectExtent l="0" t="0" r="3175" b="3175"/>
          <wp:wrapTight wrapText="bothSides">
            <wp:wrapPolygon edited="0">
              <wp:start x="4375" y="0"/>
              <wp:lineTo x="0" y="2187"/>
              <wp:lineTo x="0" y="18592"/>
              <wp:lineTo x="3281" y="20780"/>
              <wp:lineTo x="4375" y="20780"/>
              <wp:lineTo x="16405" y="20780"/>
              <wp:lineTo x="17499" y="20780"/>
              <wp:lineTo x="20780" y="18592"/>
              <wp:lineTo x="20780" y="2187"/>
              <wp:lineTo x="16405" y="0"/>
              <wp:lineTo x="4375"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5"/>
                  <a:stretch>
                    <a:fillRect/>
                  </a:stretch>
                </pic:blipFill>
                <pic:spPr>
                  <a:xfrm>
                    <a:off x="0" y="0"/>
                    <a:ext cx="250825" cy="250825"/>
                  </a:xfrm>
                  <a:prstGeom prst="rect">
                    <a:avLst/>
                  </a:prstGeom>
                </pic:spPr>
              </pic:pic>
            </a:graphicData>
          </a:graphic>
          <wp14:sizeRelH relativeFrom="page">
            <wp14:pctWidth>0</wp14:pctWidth>
          </wp14:sizeRelH>
          <wp14:sizeRelV relativeFrom="page">
            <wp14:pctHeight>0</wp14:pctHeight>
          </wp14:sizeRelV>
        </wp:anchor>
      </w:drawing>
    </w:r>
    <w:r w:rsidR="00A35076" w:rsidRPr="002B07EF">
      <w:rPr>
        <w:sz w:val="18"/>
        <w:szCs w:val="18"/>
        <w:shd w:val="clear" w:color="auto" w:fill="FFFFFF"/>
      </w:rPr>
      <w:t>PBX :+57 (601) 348 7800</w:t>
    </w:r>
  </w:p>
  <w:p w14:paraId="027A634E" w14:textId="3204897B" w:rsidR="00A35076" w:rsidRPr="009A3ABF" w:rsidRDefault="00794F79" w:rsidP="00A35076">
    <w:pPr>
      <w:spacing w:line="240" w:lineRule="exact"/>
      <w:rPr>
        <w:color w:val="11A2DC"/>
        <w:sz w:val="18"/>
        <w:szCs w:val="18"/>
        <w:bdr w:val="none" w:sz="0" w:space="0" w:color="auto" w:frame="1"/>
        <w:shd w:val="clear" w:color="auto" w:fill="FFFFFF"/>
      </w:rPr>
    </w:pPr>
    <w:r>
      <w:rPr>
        <w:sz w:val="18"/>
        <w:szCs w:val="18"/>
        <w:bdr w:val="none" w:sz="0" w:space="0" w:color="auto" w:frame="1"/>
        <w:shd w:val="clear" w:color="auto" w:fill="FFFFFF"/>
      </w:rPr>
      <w:t>Portal</w:t>
    </w:r>
    <w:r w:rsidR="00A35076" w:rsidRPr="009A3ABF">
      <w:rPr>
        <w:sz w:val="18"/>
        <w:szCs w:val="18"/>
        <w:bdr w:val="none" w:sz="0" w:space="0" w:color="auto" w:frame="1"/>
        <w:shd w:val="clear" w:color="auto" w:fill="FFFFFF"/>
      </w:rPr>
      <w:t xml:space="preserve"> Institucional</w:t>
    </w:r>
    <w:r w:rsidR="00A35076" w:rsidRPr="009A3ABF">
      <w:rPr>
        <w:color w:val="11A2DC"/>
        <w:sz w:val="18"/>
        <w:szCs w:val="18"/>
        <w:bdr w:val="none" w:sz="0" w:space="0" w:color="auto" w:frame="1"/>
        <w:shd w:val="clear" w:color="auto" w:fill="FFFFFF"/>
      </w:rPr>
      <w:t> </w:t>
    </w:r>
    <w:hyperlink r:id="rId6" w:tgtFrame="_blank" w:history="1">
      <w:r w:rsidR="00A35076" w:rsidRPr="009A3ABF">
        <w:rPr>
          <w:rStyle w:val="Hipervnculo"/>
          <w:b/>
          <w:bCs/>
          <w:color w:val="0C78A5"/>
          <w:sz w:val="18"/>
          <w:szCs w:val="18"/>
          <w:bdr w:val="none" w:sz="0" w:space="0" w:color="auto" w:frame="1"/>
          <w:shd w:val="clear" w:color="auto" w:fill="FFFFFF"/>
        </w:rPr>
        <w:t>www.ssf.gov.co</w:t>
      </w:r>
    </w:hyperlink>
    <w:r w:rsidR="00A35076" w:rsidRPr="009A3ABF">
      <w:rPr>
        <w:color w:val="11A2DC"/>
        <w:sz w:val="18"/>
        <w:szCs w:val="18"/>
        <w:bdr w:val="none" w:sz="0" w:space="0" w:color="auto" w:frame="1"/>
        <w:shd w:val="clear" w:color="auto" w:fill="FFFFFF"/>
      </w:rPr>
      <w:t> </w:t>
    </w:r>
    <w:r w:rsidRPr="00794F79">
      <w:rPr>
        <w:color w:val="000000" w:themeColor="text1"/>
        <w:sz w:val="18"/>
        <w:szCs w:val="18"/>
        <w:bdr w:val="none" w:sz="0" w:space="0" w:color="auto" w:frame="1"/>
        <w:shd w:val="clear" w:color="auto" w:fill="FFFFFF"/>
      </w:rPr>
      <w:t xml:space="preserve">- </w:t>
    </w:r>
    <w:r w:rsidRPr="00D5459A">
      <w:rPr>
        <w:sz w:val="18"/>
        <w:szCs w:val="18"/>
        <w:bdr w:val="none" w:sz="0" w:space="0" w:color="auto" w:frame="1"/>
        <w:shd w:val="clear" w:color="auto" w:fill="FFFFFF"/>
      </w:rPr>
      <w:t>correo electrónico </w:t>
    </w:r>
    <w:r w:rsidR="00A35076" w:rsidRPr="009A3ABF">
      <w:rPr>
        <w:sz w:val="18"/>
        <w:szCs w:val="18"/>
        <w:bdr w:val="none" w:sz="0" w:space="0" w:color="auto" w:frame="1"/>
        <w:shd w:val="clear" w:color="auto" w:fill="FFFFFF"/>
      </w:rPr>
      <w:t> </w:t>
    </w:r>
    <w:hyperlink r:id="rId7" w:history="1">
      <w:r w:rsidR="00A35076" w:rsidRPr="009A3ABF">
        <w:rPr>
          <w:rStyle w:val="Hipervnculo"/>
          <w:b/>
          <w:bCs/>
          <w:color w:val="0C78A5"/>
          <w:sz w:val="18"/>
          <w:szCs w:val="18"/>
          <w:bdr w:val="none" w:sz="0" w:space="0" w:color="auto" w:frame="1"/>
          <w:shd w:val="clear" w:color="auto" w:fill="FFFFFF"/>
        </w:rPr>
        <w:t>ssf@ssf.gov.co</w:t>
      </w:r>
    </w:hyperlink>
  </w:p>
  <w:p w14:paraId="2C40599D" w14:textId="77777777" w:rsidR="00A35076" w:rsidRPr="009A3ABF" w:rsidRDefault="00A35076" w:rsidP="00A35076">
    <w:pPr>
      <w:spacing w:line="240" w:lineRule="exact"/>
      <w:rPr>
        <w:sz w:val="18"/>
        <w:szCs w:val="18"/>
        <w:shd w:val="clear" w:color="auto" w:fill="FFFFFF"/>
      </w:rPr>
    </w:pPr>
    <w:r w:rsidRPr="009A3ABF">
      <w:rPr>
        <w:sz w:val="18"/>
        <w:szCs w:val="18"/>
        <w:shd w:val="clear" w:color="auto" w:fill="FFFFFF"/>
      </w:rPr>
      <w:t>Carrera 69 No. 25 B – 44 Pisos 3, 4 y 7</w:t>
    </w:r>
  </w:p>
  <w:p w14:paraId="3BBAB14E" w14:textId="77777777" w:rsidR="00A35076" w:rsidRPr="009A3ABF" w:rsidRDefault="00A35076" w:rsidP="00A35076">
    <w:pPr>
      <w:spacing w:line="240" w:lineRule="exact"/>
      <w:rPr>
        <w:noProof/>
        <w:sz w:val="6"/>
        <w:szCs w:val="6"/>
        <w:lang w:eastAsia="es-CO"/>
      </w:rPr>
    </w:pPr>
    <w:r w:rsidRPr="009A3ABF">
      <w:rPr>
        <w:sz w:val="18"/>
        <w:szCs w:val="18"/>
        <w:shd w:val="clear" w:color="auto" w:fill="FFFFFF"/>
      </w:rPr>
      <w:t>Bogotá - Colombia</w:t>
    </w:r>
  </w:p>
  <w:p w14:paraId="0B7C9759" w14:textId="360EB650" w:rsidR="004E6E97" w:rsidRPr="00A21BFC" w:rsidRDefault="004E6E97" w:rsidP="00A35076">
    <w:pPr>
      <w:ind w:left="-426" w:right="85"/>
      <w:rPr>
        <w:rFonts w:ascii="Helvetica Neue" w:hAnsi="Helvetica Neue"/>
        <w:sz w:val="13"/>
        <w:szCs w:val="13"/>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E8C538" w14:textId="77777777" w:rsidR="001B0E44" w:rsidRDefault="001B0E44" w:rsidP="004462DC">
      <w:r>
        <w:separator/>
      </w:r>
    </w:p>
  </w:footnote>
  <w:footnote w:type="continuationSeparator" w:id="0">
    <w:p w14:paraId="78F4AC23" w14:textId="77777777" w:rsidR="001B0E44" w:rsidRDefault="001B0E44"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58917" w14:textId="77777777" w:rsidR="004E6E97" w:rsidRDefault="00CB5408" w:rsidP="004462DC">
    <w:pPr>
      <w:jc w:val="right"/>
      <w:rPr>
        <w:sz w:val="16"/>
        <w:szCs w:val="16"/>
      </w:rPr>
    </w:pPr>
    <w:r>
      <w:rPr>
        <w:sz w:val="16"/>
        <w:szCs w:val="16"/>
      </w:rPr>
      <w:t xml:space="preserve">                        </w:t>
    </w:r>
    <w:r w:rsidR="00020951">
      <w:rPr>
        <w:sz w:val="16"/>
        <w:szCs w:val="16"/>
      </w:rPr>
      <w:t xml:space="preserve">          </w:t>
    </w:r>
    <w:r>
      <w:rPr>
        <w:sz w:val="16"/>
        <w:szCs w:val="16"/>
      </w:rPr>
      <w:t xml:space="preserve">  </w:t>
    </w:r>
    <w:r>
      <w:rPr>
        <w:noProof/>
        <w:lang w:eastAsia="es-CO"/>
      </w:rPr>
      <w:drawing>
        <wp:inline distT="0" distB="0" distL="0" distR="0" wp14:anchorId="2D1EE371" wp14:editId="1508364D">
          <wp:extent cx="2451600" cy="396000"/>
          <wp:effectExtent l="0" t="0" r="635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1600" cy="396000"/>
                  </a:xfrm>
                  <a:prstGeom prst="rect">
                    <a:avLst/>
                  </a:prstGeom>
                  <a:noFill/>
                  <a:ln>
                    <a:noFill/>
                  </a:ln>
                </pic:spPr>
              </pic:pic>
            </a:graphicData>
          </a:graphic>
        </wp:inline>
      </w:drawing>
    </w:r>
    <w:r w:rsidR="004E6E97" w:rsidRPr="004462DC">
      <w:rPr>
        <w:noProof/>
        <w:sz w:val="16"/>
        <w:szCs w:val="16"/>
        <w:lang w:eastAsia="es-CO"/>
      </w:rPr>
      <w:drawing>
        <wp:anchor distT="0" distB="0" distL="114300" distR="114300" simplePos="0" relativeHeight="251659264" behindDoc="0" locked="0" layoutInCell="1" allowOverlap="1" wp14:anchorId="7717F00D" wp14:editId="6C6118E2">
          <wp:simplePos x="0" y="0"/>
          <wp:positionH relativeFrom="margin">
            <wp:align>left</wp:align>
          </wp:positionH>
          <wp:positionV relativeFrom="topMargin">
            <wp:posOffset>371475</wp:posOffset>
          </wp:positionV>
          <wp:extent cx="2033905" cy="504825"/>
          <wp:effectExtent l="0" t="0" r="4445" b="9525"/>
          <wp:wrapNone/>
          <wp:docPr id="380"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2"/>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sidR="004E6E97" w:rsidRPr="004462DC">
      <w:rPr>
        <w:noProof/>
        <w:sz w:val="16"/>
        <w:szCs w:val="16"/>
        <w:lang w:eastAsia="es-CO"/>
      </w:rPr>
      <mc:AlternateContent>
        <mc:Choice Requires="wps">
          <w:drawing>
            <wp:anchor distT="0" distB="0" distL="114300" distR="114300" simplePos="0" relativeHeight="251656192" behindDoc="0" locked="0" layoutInCell="1" allowOverlap="1" wp14:anchorId="6404812C" wp14:editId="1BDC648E">
              <wp:simplePos x="0" y="0"/>
              <wp:positionH relativeFrom="page">
                <wp:align>right</wp:align>
              </wp:positionH>
              <wp:positionV relativeFrom="paragraph">
                <wp:posOffset>-361950</wp:posOffset>
              </wp:positionV>
              <wp:extent cx="7943850" cy="219075"/>
              <wp:effectExtent l="0" t="0" r="0" b="952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43850" cy="219075"/>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BD069" id="Rectángulo 16" o:spid="_x0000_s1026" style="position:absolute;margin-left:574.3pt;margin-top:-28.5pt;width:625.5pt;height:17.2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" fillcolor="#1b8bd4" stroked="f" strokeweight=".5pt">
              <w10:wrap anchorx="page"/>
            </v:rect>
          </w:pict>
        </mc:Fallback>
      </mc:AlternateContent>
    </w:r>
  </w:p>
  <w:p w14:paraId="2AE92BB9" w14:textId="0A347BFE" w:rsidR="004E6E97" w:rsidRPr="004462DC" w:rsidRDefault="00020951" w:rsidP="004462DC">
    <w:pPr>
      <w:jc w:val="right"/>
      <w:rPr>
        <w:sz w:val="16"/>
        <w:szCs w:val="16"/>
      </w:rPr>
    </w:pPr>
    <w:r>
      <w:rPr>
        <w:sz w:val="16"/>
        <w:szCs w:val="16"/>
      </w:rPr>
      <w:t xml:space="preserve">     </w:t>
    </w:r>
    <w:r w:rsidR="00CB5408">
      <w:rPr>
        <w:sz w:val="16"/>
        <w:szCs w:val="16"/>
      </w:rPr>
      <w:t xml:space="preserve">   </w:t>
    </w:r>
    <w:r w:rsidR="004E6E97" w:rsidRPr="004462DC">
      <w:rPr>
        <w:noProof/>
        <w:sz w:val="16"/>
        <w:szCs w:val="16"/>
        <w:lang w:eastAsia="es-CO"/>
      </w:rPr>
      <mc:AlternateContent>
        <mc:Choice Requires="wpg">
          <w:drawing>
            <wp:anchor distT="0" distB="0" distL="114300" distR="114300" simplePos="0" relativeHeight="251655168" behindDoc="0" locked="0" layoutInCell="0" allowOverlap="1" wp14:anchorId="710A60D1" wp14:editId="36312BD6">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3"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C1E0C" w14:textId="4328336B" w:rsidR="004E6E97" w:rsidRPr="004462DC" w:rsidRDefault="004E6E97"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1E0E05" w:rsidRPr="001E0E05">
                              <w:rPr>
                                <w:rStyle w:val="Nmerodepgina"/>
                                <w:b/>
                                <w:bCs/>
                                <w:noProof/>
                                <w:color w:val="403152"/>
                                <w:lang w:val="es-ES"/>
                              </w:rPr>
                              <w:t>11</w:t>
                            </w:r>
                            <w:r w:rsidRPr="004462DC">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11" name="Group 72"/>
                      <wpg:cNvGrpSpPr>
                        <a:grpSpLocks/>
                      </wpg:cNvGrpSpPr>
                      <wpg:grpSpPr bwMode="auto">
                        <a:xfrm>
                          <a:off x="886" y="3255"/>
                          <a:ext cx="374" cy="374"/>
                          <a:chOff x="1453" y="14832"/>
                          <a:chExt cx="374" cy="374"/>
                        </a:xfrm>
                      </wpg:grpSpPr>
                      <wps:wsp>
                        <wps:cNvPr id="21"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0A60D1" id="Grupo 70" o:spid="_x0000_s1032" style="position:absolute;left:0;text-align:left;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WMDgQAANA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" o:allowincell="f">
              <v:shapetype id="_x0000_t202" coordsize="21600,21600" o:spt="202" path="m,l,21600r21600,l21600,xe">
                <v:stroke joinstyle="miter"/>
                <v:path gradientshapeok="t" o:connecttype="rect"/>
              </v:shapetype>
              <v:shape id="Text Box 71" o:spid="_x0000_s1033"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0wwAAANoAAAAPAAAAZHJzL2Rvd25yZXYueG1sRI/dasJA&#10;FITvC77DcoTeFLNRoU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IBjb9MMAAADaAAAADwAA&#10;AAAAAAAAAAAAAAAHAgAAZHJzL2Rvd25yZXYueG1sUEsFBgAAAAADAAMAtwAAAPcCAAAAAA==&#10;" filled="f" stroked="f">
                <v:textbox inset="0,0,0,0">
                  <w:txbxContent>
                    <w:p w14:paraId="499C1E0C" w14:textId="4328336B" w:rsidR="004E6E97" w:rsidRPr="004462DC" w:rsidRDefault="004E6E97" w:rsidP="004462DC">
                      <w:pPr>
                        <w:pStyle w:val="Encabezado"/>
                        <w:spacing w:before="0" w:after="0"/>
                        <w:jc w:val="center"/>
                        <w:rPr>
                          <w:sz w:val="16"/>
                          <w:szCs w:val="16"/>
                        </w:rPr>
                      </w:pPr>
                      <w:r w:rsidRPr="004462DC">
                        <w:rPr>
                          <w:color w:val="auto"/>
                        </w:rPr>
                        <w:fldChar w:fldCharType="begin"/>
                      </w:r>
                      <w:r w:rsidRPr="004462DC">
                        <w:rPr>
                          <w:sz w:val="16"/>
                          <w:szCs w:val="16"/>
                        </w:rPr>
                        <w:instrText>PAGE    \* MERGEFORMAT</w:instrText>
                      </w:r>
                      <w:r w:rsidRPr="004462DC">
                        <w:rPr>
                          <w:color w:val="auto"/>
                        </w:rPr>
                        <w:fldChar w:fldCharType="separate"/>
                      </w:r>
                      <w:r w:rsidR="001E0E05" w:rsidRPr="001E0E05">
                        <w:rPr>
                          <w:rStyle w:val="Nmerodepgina"/>
                          <w:b/>
                          <w:bCs/>
                          <w:noProof/>
                          <w:color w:val="403152"/>
                          <w:lang w:val="es-ES"/>
                        </w:rPr>
                        <w:t>11</w:t>
                      </w:r>
                      <w:r w:rsidRPr="004462DC">
                        <w:rPr>
                          <w:rStyle w:val="Nmerodepgina"/>
                          <w:b/>
                          <w:bCs/>
                          <w:noProof/>
                          <w:color w:val="403152"/>
                          <w:sz w:val="16"/>
                          <w:szCs w:val="16"/>
                          <w:lang w:val="es-ES"/>
                        </w:rPr>
                        <w:fldChar w:fldCharType="end"/>
                      </w:r>
                    </w:p>
                  </w:txbxContent>
                </v:textbox>
              </v:shape>
              <v:group id="Group 72" o:spid="_x0000_s1034"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73" o:spid="_x0000_s1035"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" filled="f" strokecolor="#84a2c6" strokeweight=".5pt"/>
                <v:oval id="Oval 74" o:spid="_x0000_s1036"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" fillcolor="#84a2c6" stroked="f"/>
              </v:group>
              <w10:wrap anchorx="page" anchory="page"/>
            </v:group>
          </w:pict>
        </mc:Fallback>
      </mc:AlternateContent>
    </w:r>
    <w:r w:rsidR="00CB5408">
      <w:rPr>
        <w:sz w:val="16"/>
        <w:szCs w:val="16"/>
      </w:rPr>
      <w:t xml:space="preserve">   </w:t>
    </w:r>
    <w:r w:rsidR="004E6E97" w:rsidRPr="004462DC">
      <w:rPr>
        <w:sz w:val="16"/>
        <w:szCs w:val="16"/>
      </w:rPr>
      <w:t xml:space="preserve">Código: </w:t>
    </w:r>
    <w:r w:rsidR="0019687D" w:rsidRPr="0019687D">
      <w:rPr>
        <w:sz w:val="16"/>
        <w:szCs w:val="16"/>
      </w:rPr>
      <w:t>FO-PIN-CODO-004</w:t>
    </w:r>
    <w:r w:rsidR="0019687D">
      <w:rPr>
        <w:sz w:val="16"/>
        <w:szCs w:val="16"/>
      </w:rPr>
      <w:t xml:space="preserve">; </w:t>
    </w:r>
    <w:r w:rsidR="004E6E97" w:rsidRPr="004462DC">
      <w:rPr>
        <w:sz w:val="16"/>
        <w:szCs w:val="16"/>
      </w:rPr>
      <w:t>Versión</w:t>
    </w:r>
    <w:r w:rsidR="0019687D">
      <w:rPr>
        <w:sz w:val="16"/>
        <w:szCs w:val="16"/>
      </w:rPr>
      <w:t>:</w:t>
    </w:r>
    <w:r w:rsidR="004E6E97" w:rsidRPr="004462DC">
      <w:rPr>
        <w:sz w:val="16"/>
        <w:szCs w:val="16"/>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74"/>
    <w:multiLevelType w:val="multilevel"/>
    <w:tmpl w:val="F2100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436118"/>
    <w:multiLevelType w:val="hybridMultilevel"/>
    <w:tmpl w:val="486AA1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3"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8"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F1B54"/>
    <w:multiLevelType w:val="hybridMultilevel"/>
    <w:tmpl w:val="6BDAFBB8"/>
    <w:lvl w:ilvl="0" w:tplc="80C80FFE">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0" w15:restartNumberingAfterBreak="0">
    <w:nsid w:val="61E42F69"/>
    <w:multiLevelType w:val="hybridMultilevel"/>
    <w:tmpl w:val="23DAE36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2"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455134"/>
    <w:multiLevelType w:val="hybridMultilevel"/>
    <w:tmpl w:val="DD940CF2"/>
    <w:lvl w:ilvl="0" w:tplc="80C80FFE">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6"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6"/>
  </w:num>
  <w:num w:numId="2">
    <w:abstractNumId w:val="39"/>
  </w:num>
  <w:num w:numId="3">
    <w:abstractNumId w:val="6"/>
  </w:num>
  <w:num w:numId="4">
    <w:abstractNumId w:val="22"/>
  </w:num>
  <w:num w:numId="5">
    <w:abstractNumId w:val="35"/>
  </w:num>
  <w:num w:numId="6">
    <w:abstractNumId w:val="37"/>
  </w:num>
  <w:num w:numId="7">
    <w:abstractNumId w:val="18"/>
  </w:num>
  <w:num w:numId="8">
    <w:abstractNumId w:val="2"/>
  </w:num>
  <w:num w:numId="9">
    <w:abstractNumId w:val="3"/>
  </w:num>
  <w:num w:numId="10">
    <w:abstractNumId w:val="33"/>
  </w:num>
  <w:num w:numId="11">
    <w:abstractNumId w:val="7"/>
  </w:num>
  <w:num w:numId="12">
    <w:abstractNumId w:val="32"/>
  </w:num>
  <w:num w:numId="13">
    <w:abstractNumId w:val="36"/>
  </w:num>
  <w:num w:numId="14">
    <w:abstractNumId w:val="45"/>
  </w:num>
  <w:num w:numId="15">
    <w:abstractNumId w:val="5"/>
  </w:num>
  <w:num w:numId="16">
    <w:abstractNumId w:val="21"/>
  </w:num>
  <w:num w:numId="17">
    <w:abstractNumId w:val="25"/>
  </w:num>
  <w:num w:numId="18">
    <w:abstractNumId w:val="26"/>
  </w:num>
  <w:num w:numId="19">
    <w:abstractNumId w:val="16"/>
  </w:num>
  <w:num w:numId="20">
    <w:abstractNumId w:val="44"/>
  </w:num>
  <w:num w:numId="21">
    <w:abstractNumId w:val="12"/>
  </w:num>
  <w:num w:numId="22">
    <w:abstractNumId w:val="47"/>
  </w:num>
  <w:num w:numId="23">
    <w:abstractNumId w:val="48"/>
  </w:num>
  <w:num w:numId="24">
    <w:abstractNumId w:val="1"/>
  </w:num>
  <w:num w:numId="25">
    <w:abstractNumId w:val="41"/>
  </w:num>
  <w:num w:numId="26">
    <w:abstractNumId w:val="28"/>
  </w:num>
  <w:num w:numId="27">
    <w:abstractNumId w:val="17"/>
  </w:num>
  <w:num w:numId="28">
    <w:abstractNumId w:val="49"/>
  </w:num>
  <w:num w:numId="29">
    <w:abstractNumId w:val="14"/>
  </w:num>
  <w:num w:numId="30">
    <w:abstractNumId w:val="10"/>
  </w:num>
  <w:num w:numId="31">
    <w:abstractNumId w:val="13"/>
  </w:num>
  <w:num w:numId="32">
    <w:abstractNumId w:val="42"/>
  </w:num>
  <w:num w:numId="33">
    <w:abstractNumId w:val="20"/>
  </w:num>
  <w:num w:numId="34">
    <w:abstractNumId w:val="9"/>
  </w:num>
  <w:num w:numId="35">
    <w:abstractNumId w:val="24"/>
  </w:num>
  <w:num w:numId="36">
    <w:abstractNumId w:val="15"/>
  </w:num>
  <w:num w:numId="37">
    <w:abstractNumId w:val="0"/>
  </w:num>
  <w:num w:numId="38">
    <w:abstractNumId w:val="23"/>
  </w:num>
  <w:num w:numId="39">
    <w:abstractNumId w:val="27"/>
  </w:num>
  <w:num w:numId="40">
    <w:abstractNumId w:val="19"/>
  </w:num>
  <w:num w:numId="41">
    <w:abstractNumId w:val="38"/>
  </w:num>
  <w:num w:numId="42">
    <w:abstractNumId w:val="8"/>
  </w:num>
  <w:num w:numId="43">
    <w:abstractNumId w:val="34"/>
  </w:num>
  <w:num w:numId="44">
    <w:abstractNumId w:val="4"/>
  </w:num>
  <w:num w:numId="45">
    <w:abstractNumId w:val="30"/>
  </w:num>
  <w:num w:numId="46">
    <w:abstractNumId w:val="29"/>
  </w:num>
  <w:num w:numId="47">
    <w:abstractNumId w:val="40"/>
  </w:num>
  <w:num w:numId="48">
    <w:abstractNumId w:val="11"/>
  </w:num>
  <w:num w:numId="49">
    <w:abstractNumId w:val="31"/>
  </w:num>
  <w:num w:numId="50">
    <w:abstractNumId w:val="4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1F41"/>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3D09"/>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69F"/>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5E7A"/>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6BD9"/>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27"/>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1F49"/>
    <w:rsid w:val="00162193"/>
    <w:rsid w:val="00162BDA"/>
    <w:rsid w:val="00163353"/>
    <w:rsid w:val="00163A18"/>
    <w:rsid w:val="00163B55"/>
    <w:rsid w:val="00163EE7"/>
    <w:rsid w:val="0016413D"/>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687D"/>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0E44"/>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0E05"/>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5A2"/>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730"/>
    <w:rsid w:val="00262DFF"/>
    <w:rsid w:val="00263FA6"/>
    <w:rsid w:val="00264F2B"/>
    <w:rsid w:val="0026529E"/>
    <w:rsid w:val="00265871"/>
    <w:rsid w:val="002659D1"/>
    <w:rsid w:val="00266593"/>
    <w:rsid w:val="00266879"/>
    <w:rsid w:val="00266966"/>
    <w:rsid w:val="002669F5"/>
    <w:rsid w:val="00267B0E"/>
    <w:rsid w:val="00267E28"/>
    <w:rsid w:val="00270540"/>
    <w:rsid w:val="00270E80"/>
    <w:rsid w:val="00271888"/>
    <w:rsid w:val="00271B01"/>
    <w:rsid w:val="00271F2A"/>
    <w:rsid w:val="002723C3"/>
    <w:rsid w:val="0027249E"/>
    <w:rsid w:val="00272982"/>
    <w:rsid w:val="00272FDB"/>
    <w:rsid w:val="002738BE"/>
    <w:rsid w:val="00273C58"/>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037"/>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715"/>
    <w:rsid w:val="00306EED"/>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06A"/>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489B"/>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2"/>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0C4"/>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9F4"/>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A6"/>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61A"/>
    <w:rsid w:val="005E1438"/>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96D"/>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06"/>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3C7B"/>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7DE"/>
    <w:rsid w:val="006E29C6"/>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B57"/>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3EE"/>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4F79"/>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182"/>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A10"/>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2B99"/>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6ED"/>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7C0F"/>
    <w:rsid w:val="008B7EF6"/>
    <w:rsid w:val="008B7F85"/>
    <w:rsid w:val="008C0209"/>
    <w:rsid w:val="008C04BC"/>
    <w:rsid w:val="008C05F4"/>
    <w:rsid w:val="008C13C7"/>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73"/>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4FD4"/>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3838"/>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076"/>
    <w:rsid w:val="00A359B4"/>
    <w:rsid w:val="00A35CAC"/>
    <w:rsid w:val="00A35CBD"/>
    <w:rsid w:val="00A362F0"/>
    <w:rsid w:val="00A3660E"/>
    <w:rsid w:val="00A3663D"/>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4D"/>
    <w:rsid w:val="00A54957"/>
    <w:rsid w:val="00A54BED"/>
    <w:rsid w:val="00A54EA8"/>
    <w:rsid w:val="00A5571A"/>
    <w:rsid w:val="00A5580D"/>
    <w:rsid w:val="00A55DBD"/>
    <w:rsid w:val="00A55E5B"/>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0C"/>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481"/>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130"/>
    <w:rsid w:val="00B4633F"/>
    <w:rsid w:val="00B46580"/>
    <w:rsid w:val="00B46598"/>
    <w:rsid w:val="00B46A67"/>
    <w:rsid w:val="00B46A88"/>
    <w:rsid w:val="00B479EA"/>
    <w:rsid w:val="00B47B23"/>
    <w:rsid w:val="00B505AE"/>
    <w:rsid w:val="00B5085D"/>
    <w:rsid w:val="00B508A1"/>
    <w:rsid w:val="00B50BD7"/>
    <w:rsid w:val="00B512C2"/>
    <w:rsid w:val="00B514E3"/>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6CA"/>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094"/>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5F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4ECD"/>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7DB"/>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E25"/>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91E"/>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1FC7"/>
    <w:rsid w:val="00DB222C"/>
    <w:rsid w:val="00DB3904"/>
    <w:rsid w:val="00DB398A"/>
    <w:rsid w:val="00DB3BE3"/>
    <w:rsid w:val="00DB4261"/>
    <w:rsid w:val="00DB451E"/>
    <w:rsid w:val="00DB4B6D"/>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230D"/>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6EF7"/>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3A59"/>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table" w:styleId="Tabladecuadrcula6concolores-nfasis1">
    <w:name w:val="Grid Table 6 Colorful Accent 1"/>
    <w:basedOn w:val="Tablanormal"/>
    <w:uiPriority w:val="51"/>
    <w:rsid w:val="00011F4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
    <w:name w:val="Unresolved Mention"/>
    <w:basedOn w:val="Fuentedeprrafopredeter"/>
    <w:uiPriority w:val="99"/>
    <w:semiHidden/>
    <w:unhideWhenUsed/>
    <w:rsid w:val="00B51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40662699">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59261980">
      <w:bodyDiv w:val="1"/>
      <w:marLeft w:val="0"/>
      <w:marRight w:val="0"/>
      <w:marTop w:val="0"/>
      <w:marBottom w:val="0"/>
      <w:divBdr>
        <w:top w:val="none" w:sz="0" w:space="0" w:color="auto"/>
        <w:left w:val="none" w:sz="0" w:space="0" w:color="auto"/>
        <w:bottom w:val="none" w:sz="0" w:space="0" w:color="auto"/>
        <w:right w:val="none" w:sz="0" w:space="0" w:color="auto"/>
      </w:divBdr>
    </w:div>
    <w:div w:id="265314025">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382287948">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575212728">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0892018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4841807">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32432436">
      <w:bodyDiv w:val="1"/>
      <w:marLeft w:val="0"/>
      <w:marRight w:val="0"/>
      <w:marTop w:val="0"/>
      <w:marBottom w:val="0"/>
      <w:divBdr>
        <w:top w:val="none" w:sz="0" w:space="0" w:color="auto"/>
        <w:left w:val="none" w:sz="0" w:space="0" w:color="auto"/>
        <w:bottom w:val="none" w:sz="0" w:space="0" w:color="auto"/>
        <w:right w:val="none" w:sz="0" w:space="0" w:color="auto"/>
      </w:divBdr>
    </w:div>
    <w:div w:id="1436049733">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3147097">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20.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10.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ssf.gov.co/web/guest/transparencia/planeacion/informe-de-gestion-de-la-entidad/gestion-de-riesgos/mapa-de-riesgo-de-gestion" TargetMode="External"/><Relationship Id="rId10" Type="http://schemas.openxmlformats.org/officeDocument/2006/relationships/endnotes" Target="endnotes.xml"/><Relationship Id="rId19" Type="http://schemas.openxmlformats.org/officeDocument/2006/relationships/image" Target="media/image3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hyperlink" Target="mailto:ssf@ssf.gov.co" TargetMode="External"/><Relationship Id="rId2" Type="http://schemas.openxmlformats.org/officeDocument/2006/relationships/image" Target="media/image10.png"/><Relationship Id="rId1" Type="http://schemas.openxmlformats.org/officeDocument/2006/relationships/image" Target="media/image9.jpeg"/><Relationship Id="rId6" Type="http://schemas.openxmlformats.org/officeDocument/2006/relationships/hyperlink" Target="http://www.ssf.gov.co/" TargetMode="External"/><Relationship Id="rId5" Type="http://schemas.openxmlformats.org/officeDocument/2006/relationships/image" Target="media/image13.pn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E93295-0231-48C7-92B3-7110626DC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0</TotalTime>
  <Pages>11</Pages>
  <Words>4710</Words>
  <Characters>25911</Characters>
  <Application>Microsoft Office Word</Application>
  <DocSecurity>0</DocSecurity>
  <Lines>215</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cp:revision>
  <cp:lastPrinted>2020-02-12T16:33:00Z</cp:lastPrinted>
  <dcterms:created xsi:type="dcterms:W3CDTF">2023-05-08T19:42:00Z</dcterms:created>
  <dcterms:modified xsi:type="dcterms:W3CDTF">2023-05-08T19:42:00Z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