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56211" w14:textId="77777777" w:rsidR="00347DAA" w:rsidRPr="004E6D76" w:rsidRDefault="00347DAA" w:rsidP="00347DAA">
      <w:pPr>
        <w:spacing w:after="0" w:line="240" w:lineRule="auto"/>
        <w:jc w:val="both"/>
        <w:rPr>
          <w:rFonts w:ascii="Arial" w:hAnsi="Arial" w:cs="Arial"/>
        </w:rPr>
      </w:pPr>
      <w:bookmarkStart w:id="0" w:name="_Toc330995018"/>
      <w:r>
        <w:rPr>
          <w:rFonts w:ascii="Arial" w:hAnsi="Arial" w:cs="Arial"/>
          <w:noProof/>
          <w:lang w:eastAsia="es-ES"/>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eastAsia="es-ES"/>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 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498B0BC9"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45026A">
                              <w:rPr>
                                <w:rFonts w:ascii="Cambria" w:eastAsia="Times New Roman" w:hAnsi="Cambria"/>
                                <w:b/>
                                <w:color w:val="FFFFFF"/>
                                <w:spacing w:val="5"/>
                                <w:kern w:val="28"/>
                                <w:sz w:val="28"/>
                                <w:szCs w:val="28"/>
                              </w:rPr>
                              <w:t>mayo</w:t>
                            </w:r>
                            <w:r w:rsidRPr="00610DA5">
                              <w:rPr>
                                <w:rFonts w:ascii="Cambria" w:eastAsia="Times New Roman" w:hAnsi="Cambria"/>
                                <w:b/>
                                <w:color w:val="FFFFFF"/>
                                <w:spacing w:val="5"/>
                                <w:kern w:val="28"/>
                                <w:sz w:val="28"/>
                                <w:szCs w:val="28"/>
                              </w:rPr>
                              <w:t xml:space="preserve"> de 201</w:t>
                            </w:r>
                            <w:r>
                              <w:rPr>
                                <w:rFonts w:ascii="Cambria" w:eastAsia="Times New Roman" w:hAnsi="Cambria"/>
                                <w:b/>
                                <w:color w:val="FFFFFF"/>
                                <w:spacing w:val="5"/>
                                <w:kern w:val="28"/>
                                <w:sz w:val="28"/>
                                <w:szCs w:val="28"/>
                              </w:rPr>
                              <w:t>9</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 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498B0BC9"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45026A">
                        <w:rPr>
                          <w:rFonts w:ascii="Cambria" w:eastAsia="Times New Roman" w:hAnsi="Cambria"/>
                          <w:b/>
                          <w:color w:val="FFFFFF"/>
                          <w:spacing w:val="5"/>
                          <w:kern w:val="28"/>
                          <w:sz w:val="28"/>
                          <w:szCs w:val="28"/>
                        </w:rPr>
                        <w:t>mayo</w:t>
                      </w:r>
                      <w:r w:rsidRPr="00610DA5">
                        <w:rPr>
                          <w:rFonts w:ascii="Cambria" w:eastAsia="Times New Roman" w:hAnsi="Cambria"/>
                          <w:b/>
                          <w:color w:val="FFFFFF"/>
                          <w:spacing w:val="5"/>
                          <w:kern w:val="28"/>
                          <w:sz w:val="28"/>
                          <w:szCs w:val="28"/>
                        </w:rPr>
                        <w:t xml:space="preserve"> de 201</w:t>
                      </w:r>
                      <w:r>
                        <w:rPr>
                          <w:rFonts w:ascii="Cambria" w:eastAsia="Times New Roman" w:hAnsi="Cambria"/>
                          <w:b/>
                          <w:color w:val="FFFFFF"/>
                          <w:spacing w:val="5"/>
                          <w:kern w:val="28"/>
                          <w:sz w:val="28"/>
                          <w:szCs w:val="28"/>
                        </w:rPr>
                        <w:t>9</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eastAsia="es-ES"/>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p w14:paraId="73D5374A" w14:textId="4E5C5D42" w:rsidR="00D17B2D" w:rsidRPr="004E6D76" w:rsidRDefault="00D17B2D" w:rsidP="00D17B2D">
      <w:pPr>
        <w:rPr>
          <w:rFonts w:ascii="Arial" w:hAnsi="Arial" w:cs="Arial"/>
        </w:rPr>
      </w:pPr>
    </w:p>
    <w:tbl>
      <w:tblPr>
        <w:tblStyle w:val="Tablaconcuadrcula"/>
        <w:tblW w:w="0" w:type="auto"/>
        <w:tblLook w:val="04A0" w:firstRow="1" w:lastRow="0" w:firstColumn="1" w:lastColumn="0" w:noHBand="0" w:noVBand="1"/>
      </w:tblPr>
      <w:tblGrid>
        <w:gridCol w:w="5006"/>
        <w:gridCol w:w="4672"/>
      </w:tblGrid>
      <w:tr w:rsidR="00D17B2D" w14:paraId="3D6C285F" w14:textId="77777777" w:rsidTr="00347DAA">
        <w:tc>
          <w:tcPr>
            <w:tcW w:w="9678" w:type="dxa"/>
            <w:gridSpan w:val="2"/>
          </w:tcPr>
          <w:p w14:paraId="441D91B8" w14:textId="77777777" w:rsidR="00D17B2D" w:rsidRPr="00FA2B7D" w:rsidRDefault="00D17B2D" w:rsidP="00A0246F">
            <w:pPr>
              <w:pStyle w:val="Prrafodelista"/>
              <w:ind w:left="0"/>
              <w:rPr>
                <w:rFonts w:ascii="Arial" w:hAnsi="Arial" w:cs="Arial"/>
                <w:b/>
              </w:rPr>
            </w:pPr>
            <w:bookmarkStart w:id="1" w:name="_Toc417999366"/>
            <w:bookmarkStart w:id="2" w:name="_Toc488672784"/>
            <w:r w:rsidRPr="00FA2B7D">
              <w:rPr>
                <w:rFonts w:ascii="Arial" w:hAnsi="Arial" w:cs="Arial"/>
                <w:b/>
              </w:rPr>
              <w:t>1. INFORMACIÓN GENERAL</w:t>
            </w:r>
          </w:p>
        </w:tc>
      </w:tr>
      <w:tr w:rsidR="00FB595A" w14:paraId="4C7273C3" w14:textId="77777777" w:rsidTr="00347DAA">
        <w:tc>
          <w:tcPr>
            <w:tcW w:w="50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672" w:type="dxa"/>
          </w:tcPr>
          <w:p w14:paraId="6304DBD5" w14:textId="77777777" w:rsidR="00D17B2D" w:rsidRPr="00FA2B7D" w:rsidRDefault="00D17B2D" w:rsidP="00A0246F">
            <w:pPr>
              <w:pStyle w:val="Prrafodelista"/>
              <w:ind w:left="0"/>
              <w:rPr>
                <w:rFonts w:ascii="Arial" w:hAnsi="Arial" w:cs="Arial"/>
              </w:rPr>
            </w:pPr>
            <w:r w:rsidRPr="00FA2B7D">
              <w:rPr>
                <w:rFonts w:ascii="Arial" w:hAnsi="Arial" w:cs="Arial"/>
              </w:rPr>
              <w:t xml:space="preserve"> </w:t>
            </w:r>
            <w:r>
              <w:rPr>
                <w:rFonts w:ascii="Arial" w:hAnsi="Arial" w:cs="Arial"/>
              </w:rPr>
              <w:t>15</w:t>
            </w:r>
            <w:r w:rsidRPr="00FA2B7D">
              <w:rPr>
                <w:rFonts w:ascii="Arial" w:hAnsi="Arial" w:cs="Arial"/>
              </w:rPr>
              <w:t xml:space="preserve"> DE </w:t>
            </w:r>
            <w:r>
              <w:rPr>
                <w:rFonts w:ascii="Arial" w:hAnsi="Arial" w:cs="Arial"/>
              </w:rPr>
              <w:t>MAYO</w:t>
            </w:r>
            <w:r w:rsidRPr="00FA2B7D">
              <w:rPr>
                <w:rFonts w:ascii="Arial" w:hAnsi="Arial" w:cs="Arial"/>
              </w:rPr>
              <w:t xml:space="preserve"> </w:t>
            </w:r>
            <w:r>
              <w:rPr>
                <w:rFonts w:ascii="Arial" w:hAnsi="Arial" w:cs="Arial"/>
              </w:rPr>
              <w:t>DE 2019</w:t>
            </w:r>
          </w:p>
        </w:tc>
      </w:tr>
      <w:tr w:rsidR="00FB595A" w14:paraId="1CDC8610" w14:textId="77777777" w:rsidTr="00347DAA">
        <w:tc>
          <w:tcPr>
            <w:tcW w:w="50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672" w:type="dxa"/>
          </w:tcPr>
          <w:p w14:paraId="0B5A28D1" w14:textId="77777777" w:rsidR="00D17B2D" w:rsidRPr="00FA2B7D" w:rsidRDefault="00D17B2D" w:rsidP="00A0246F">
            <w:pPr>
              <w:pStyle w:val="Prrafodelista"/>
              <w:ind w:left="0"/>
              <w:rPr>
                <w:rFonts w:ascii="Arial" w:hAnsi="Arial" w:cs="Arial"/>
              </w:rPr>
            </w:pPr>
            <w:r w:rsidRPr="00FA2B7D">
              <w:rPr>
                <w:rFonts w:ascii="Arial" w:hAnsi="Arial" w:cs="Arial"/>
              </w:rPr>
              <w:t>I TRIMESTRE DE 201</w:t>
            </w:r>
            <w:r>
              <w:rPr>
                <w:rFonts w:ascii="Arial" w:hAnsi="Arial" w:cs="Arial"/>
              </w:rPr>
              <w:t>9</w:t>
            </w:r>
          </w:p>
        </w:tc>
      </w:tr>
      <w:tr w:rsidR="00FB595A" w14:paraId="6C15BEA0" w14:textId="77777777" w:rsidTr="00347DAA">
        <w:tc>
          <w:tcPr>
            <w:tcW w:w="50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6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347DAA">
        <w:tc>
          <w:tcPr>
            <w:tcW w:w="50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6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21D1FC7C" w14:textId="77777777" w:rsidTr="00347DAA">
        <w:trPr>
          <w:trHeight w:val="282"/>
        </w:trPr>
        <w:tc>
          <w:tcPr>
            <w:tcW w:w="9678" w:type="dxa"/>
            <w:gridSpan w:val="2"/>
            <w:shd w:val="clear" w:color="auto" w:fill="ACB9CA" w:themeFill="text2" w:themeFillTint="66"/>
          </w:tcPr>
          <w:p w14:paraId="0F4D4162" w14:textId="77777777" w:rsidR="00D17B2D" w:rsidRDefault="00D17B2D" w:rsidP="00A0246F">
            <w:pPr>
              <w:pStyle w:val="Prrafodelista"/>
              <w:spacing w:after="0" w:line="240" w:lineRule="auto"/>
              <w:ind w:left="0"/>
              <w:jc w:val="both"/>
              <w:rPr>
                <w:rFonts w:ascii="Arial" w:hAnsi="Arial" w:cs="Arial"/>
                <w:b/>
                <w:sz w:val="24"/>
                <w:szCs w:val="24"/>
              </w:rPr>
            </w:pPr>
          </w:p>
        </w:tc>
      </w:tr>
      <w:tr w:rsidR="00D17B2D" w14:paraId="69260950" w14:textId="77777777" w:rsidTr="00347DAA">
        <w:trPr>
          <w:trHeight w:val="967"/>
        </w:trPr>
        <w:tc>
          <w:tcPr>
            <w:tcW w:w="9678" w:type="dxa"/>
            <w:gridSpan w:val="2"/>
          </w:tcPr>
          <w:p w14:paraId="0FCFD726" w14:textId="77777777"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77777777"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los seguimientos de los riesgos a nivel institucional han</w:t>
            </w:r>
            <w:r w:rsidRPr="004E6D76">
              <w:rPr>
                <w:rFonts w:ascii="Arial" w:hAnsi="Arial" w:cs="Arial"/>
              </w:rPr>
              <w:t xml:space="preserve"> sido consolidados está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14:paraId="3F6A3F96" w14:textId="77777777" w:rsidTr="00347DAA">
        <w:trPr>
          <w:trHeight w:val="1430"/>
        </w:trPr>
        <w:tc>
          <w:tcPr>
            <w:tcW w:w="9678" w:type="dxa"/>
            <w:gridSpan w:val="2"/>
          </w:tcPr>
          <w:p w14:paraId="73402C15" w14:textId="77777777"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7FE822A7" w14:textId="77777777" w:rsidR="00D17B2D" w:rsidRDefault="00D17B2D" w:rsidP="00A0246F">
            <w:pPr>
              <w:pStyle w:val="Prrafodelista"/>
              <w:ind w:left="0"/>
              <w:rPr>
                <w:rFonts w:ascii="Arial" w:hAnsi="Arial" w:cs="Arial"/>
                <w:b/>
                <w:sz w:val="24"/>
                <w:szCs w:val="24"/>
              </w:rPr>
            </w:pPr>
          </w:p>
          <w:p w14:paraId="078658C8" w14:textId="40845FB3" w:rsidR="00D17B2D" w:rsidRPr="00103AC5" w:rsidRDefault="00D17B2D" w:rsidP="00A0246F">
            <w:pPr>
              <w:pStyle w:val="Prrafodelista"/>
              <w:ind w:left="0"/>
              <w:rPr>
                <w:rFonts w:ascii="Arial" w:hAnsi="Arial" w:cs="Arial"/>
              </w:rPr>
            </w:pPr>
            <w:r w:rsidRPr="003C76EB">
              <w:rPr>
                <w:rFonts w:ascii="Arial" w:hAnsi="Arial" w:cs="Arial"/>
              </w:rPr>
              <w:t xml:space="preserve">Se hace necesario realizar dicho seguimiento con corte del 01 de </w:t>
            </w:r>
            <w:r>
              <w:rPr>
                <w:rFonts w:ascii="Arial" w:hAnsi="Arial" w:cs="Arial"/>
              </w:rPr>
              <w:t xml:space="preserve">ENERO </w:t>
            </w:r>
            <w:r w:rsidRPr="003C76EB">
              <w:rPr>
                <w:rFonts w:ascii="Arial" w:hAnsi="Arial" w:cs="Arial"/>
              </w:rPr>
              <w:t xml:space="preserve">al 31 de </w:t>
            </w:r>
            <w:r>
              <w:rPr>
                <w:rFonts w:ascii="Arial" w:hAnsi="Arial" w:cs="Arial"/>
              </w:rPr>
              <w:t>MARZO</w:t>
            </w:r>
            <w:r w:rsidRPr="003C76EB">
              <w:rPr>
                <w:rFonts w:ascii="Arial" w:hAnsi="Arial" w:cs="Arial"/>
              </w:rPr>
              <w:t xml:space="preserve"> </w:t>
            </w:r>
            <w:r w:rsidRPr="00103AC5">
              <w:rPr>
                <w:rFonts w:ascii="Arial" w:hAnsi="Arial" w:cs="Arial"/>
              </w:rPr>
              <w:t>– I Trimestre 201</w:t>
            </w:r>
            <w:r>
              <w:rPr>
                <w:rFonts w:ascii="Arial" w:hAnsi="Arial" w:cs="Arial"/>
              </w:rPr>
              <w:t>9</w:t>
            </w:r>
            <w:r w:rsidRPr="00103AC5">
              <w:rPr>
                <w:rFonts w:ascii="Arial" w:hAnsi="Arial" w:cs="Arial"/>
              </w:rPr>
              <w:t>.</w:t>
            </w:r>
          </w:p>
          <w:p w14:paraId="4808AABA" w14:textId="77777777" w:rsidR="00D17B2D" w:rsidRPr="00FA2B7D" w:rsidRDefault="00D17B2D" w:rsidP="00A0246F">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A0246F">
            <w:pPr>
              <w:autoSpaceDE w:val="0"/>
              <w:autoSpaceDN w:val="0"/>
              <w:adjustRightInd w:val="0"/>
              <w:spacing w:after="0" w:line="240" w:lineRule="auto"/>
              <w:jc w:val="both"/>
              <w:rPr>
                <w:rFonts w:ascii="Arial" w:hAnsi="Arial" w:cs="Arial"/>
              </w:rPr>
            </w:pPr>
          </w:p>
          <w:p w14:paraId="4D5CEBF2" w14:textId="77777777" w:rsidR="00D17B2D" w:rsidRDefault="00D17B2D" w:rsidP="00D17B2D">
            <w:pPr>
              <w:numPr>
                <w:ilvl w:val="0"/>
                <w:numId w:val="7"/>
              </w:numPr>
              <w:autoSpaceDE w:val="0"/>
              <w:autoSpaceDN w:val="0"/>
              <w:adjustRightInd w:val="0"/>
              <w:spacing w:after="0" w:line="240" w:lineRule="auto"/>
              <w:jc w:val="both"/>
              <w:rPr>
                <w:rFonts w:ascii="Arial" w:hAnsi="Arial" w:cs="Arial"/>
              </w:rPr>
            </w:pPr>
            <w:r w:rsidRPr="00FA2B7D">
              <w:rPr>
                <w:rFonts w:ascii="Arial" w:hAnsi="Arial" w:cs="Arial"/>
              </w:rPr>
              <w:t xml:space="preserve">Mapa institucional del riesgo que fue elaborado por la Oficina Asesora de Planeación, resultado de la consolidación de los veintiún (21) procesos, en acompañamiento de cada uno de los líderes de los procesos.  </w:t>
            </w:r>
          </w:p>
          <w:p w14:paraId="00D4921D" w14:textId="77777777" w:rsidR="00D17B2D" w:rsidRPr="00FA2B7D" w:rsidRDefault="00D17B2D" w:rsidP="00A0246F">
            <w:pPr>
              <w:autoSpaceDE w:val="0"/>
              <w:autoSpaceDN w:val="0"/>
              <w:adjustRightInd w:val="0"/>
              <w:spacing w:after="0" w:line="240" w:lineRule="auto"/>
              <w:ind w:left="360"/>
              <w:jc w:val="both"/>
              <w:rPr>
                <w:rFonts w:ascii="Arial" w:hAnsi="Arial" w:cs="Arial"/>
              </w:rPr>
            </w:pPr>
          </w:p>
          <w:p w14:paraId="75F604ED" w14:textId="77777777" w:rsidR="00D17B2D" w:rsidRPr="00FA2B7D" w:rsidRDefault="00D17B2D" w:rsidP="00D17B2D">
            <w:pPr>
              <w:numPr>
                <w:ilvl w:val="0"/>
                <w:numId w:val="7"/>
              </w:numPr>
              <w:autoSpaceDE w:val="0"/>
              <w:autoSpaceDN w:val="0"/>
              <w:adjustRightInd w:val="0"/>
              <w:spacing w:after="0" w:line="240" w:lineRule="auto"/>
              <w:jc w:val="both"/>
              <w:rPr>
                <w:rFonts w:ascii="Arial" w:hAnsi="Arial" w:cs="Arial"/>
              </w:rPr>
            </w:pPr>
            <w:r w:rsidRPr="00FA2B7D">
              <w:rPr>
                <w:rFonts w:ascii="Arial" w:hAnsi="Arial" w:cs="Arial"/>
              </w:rPr>
              <w:t xml:space="preserve">Matriz que contiene la información de las actividades realizadas con respecto de los controles definidos frente a los cuarenta y siete (47) riesgos de los procesos que fueron reportados por cada una de las dependencias y consolidado por la Oficina Asesora de Planeación. </w:t>
            </w:r>
          </w:p>
          <w:p w14:paraId="7A27E03F" w14:textId="77777777" w:rsidR="00D17B2D" w:rsidRDefault="00D17B2D" w:rsidP="00A0246F">
            <w:pPr>
              <w:autoSpaceDE w:val="0"/>
              <w:autoSpaceDN w:val="0"/>
              <w:adjustRightInd w:val="0"/>
              <w:spacing w:after="0" w:line="240" w:lineRule="auto"/>
              <w:ind w:left="360"/>
              <w:jc w:val="both"/>
              <w:rPr>
                <w:rFonts w:ascii="Arial" w:hAnsi="Arial" w:cs="Arial"/>
              </w:rPr>
            </w:pP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367A860F" w14:textId="77777777" w:rsidTr="00347DAA">
        <w:trPr>
          <w:trHeight w:val="1408"/>
        </w:trPr>
        <w:tc>
          <w:tcPr>
            <w:tcW w:w="9678" w:type="dxa"/>
            <w:gridSpan w:val="2"/>
            <w:tcBorders>
              <w:bottom w:val="single" w:sz="4" w:space="0" w:color="auto"/>
            </w:tcBorders>
          </w:tcPr>
          <w:p w14:paraId="6A163F0C" w14:textId="77777777" w:rsidR="00D17B2D" w:rsidRDefault="00D17B2D" w:rsidP="00A0246F">
            <w:pPr>
              <w:pStyle w:val="Prrafodelista"/>
              <w:ind w:left="0"/>
              <w:rPr>
                <w:rFonts w:ascii="Arial" w:hAnsi="Arial" w:cs="Arial"/>
                <w:b/>
                <w:sz w:val="24"/>
                <w:szCs w:val="24"/>
              </w:rPr>
            </w:pPr>
            <w:r>
              <w:rPr>
                <w:rFonts w:ascii="Arial" w:hAnsi="Arial" w:cs="Arial"/>
                <w:b/>
                <w:sz w:val="24"/>
                <w:szCs w:val="24"/>
              </w:rPr>
              <w:t>4. CRITERIOS</w:t>
            </w:r>
          </w:p>
          <w:p w14:paraId="727D9C3A"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Ley 87 de 1993</w:t>
            </w:r>
          </w:p>
          <w:p w14:paraId="57DF5A59"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Decreto 4485 de 2009</w:t>
            </w:r>
          </w:p>
          <w:p w14:paraId="2E99FD26"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 xml:space="preserve">Decreto 943 de 2014 - Manual Técnico del MECI 2014 </w:t>
            </w:r>
          </w:p>
          <w:p w14:paraId="64915519" w14:textId="77777777" w:rsidR="00D17B2D" w:rsidRPr="00326F6C" w:rsidRDefault="00D17B2D" w:rsidP="00D17B2D">
            <w:pPr>
              <w:pStyle w:val="Prrafodelista"/>
              <w:numPr>
                <w:ilvl w:val="0"/>
                <w:numId w:val="8"/>
              </w:numPr>
              <w:rPr>
                <w:rFonts w:ascii="Arial" w:hAnsi="Arial" w:cs="Arial"/>
                <w:b/>
                <w:sz w:val="24"/>
                <w:szCs w:val="24"/>
              </w:rPr>
            </w:pPr>
            <w:r w:rsidRPr="00326F6C">
              <w:rPr>
                <w:rFonts w:ascii="Arial" w:hAnsi="Arial" w:cs="Arial"/>
                <w:sz w:val="24"/>
                <w:szCs w:val="24"/>
              </w:rPr>
              <w:t>Guía para la administración del riesgo emitida por el DAFP, Versión 3</w:t>
            </w:r>
          </w:p>
        </w:tc>
      </w:tr>
      <w:tr w:rsidR="00D17B2D" w14:paraId="7F2AE9EE" w14:textId="77777777" w:rsidTr="00347DAA">
        <w:trPr>
          <w:trHeight w:val="975"/>
        </w:trPr>
        <w:tc>
          <w:tcPr>
            <w:tcW w:w="9678" w:type="dxa"/>
            <w:gridSpan w:val="2"/>
            <w:tcBorders>
              <w:bottom w:val="single" w:sz="4" w:space="0" w:color="auto"/>
            </w:tcBorders>
          </w:tcPr>
          <w:p w14:paraId="05099669" w14:textId="77777777" w:rsidR="002D171B" w:rsidRDefault="002D171B" w:rsidP="00A0246F">
            <w:pPr>
              <w:pStyle w:val="Prrafodelista"/>
              <w:ind w:left="0"/>
              <w:rPr>
                <w:rFonts w:ascii="Arial" w:hAnsi="Arial" w:cs="Arial"/>
                <w:b/>
                <w:sz w:val="24"/>
                <w:szCs w:val="24"/>
              </w:rPr>
            </w:pPr>
          </w:p>
          <w:p w14:paraId="1575CF75" w14:textId="294CDEBC" w:rsidR="00D17B2D" w:rsidRPr="009D31FF" w:rsidRDefault="00D17B2D" w:rsidP="00A0246F">
            <w:pPr>
              <w:pStyle w:val="Prrafodelista"/>
              <w:ind w:left="0"/>
              <w:rPr>
                <w:rFonts w:ascii="Arial" w:hAnsi="Arial" w:cs="Arial"/>
                <w:b/>
                <w:sz w:val="24"/>
                <w:szCs w:val="24"/>
              </w:rPr>
            </w:pPr>
            <w:r w:rsidRPr="009D31FF">
              <w:rPr>
                <w:rFonts w:ascii="Arial" w:hAnsi="Arial" w:cs="Arial"/>
                <w:b/>
                <w:sz w:val="24"/>
                <w:szCs w:val="24"/>
              </w:rPr>
              <w:t xml:space="preserve">5. SEGUIMIENTO  </w:t>
            </w:r>
          </w:p>
          <w:p w14:paraId="63A48575" w14:textId="77777777" w:rsidR="00D17B2D" w:rsidRPr="009D31FF" w:rsidRDefault="00D17B2D" w:rsidP="00A0246F">
            <w:pPr>
              <w:autoSpaceDE w:val="0"/>
              <w:autoSpaceDN w:val="0"/>
              <w:adjustRightInd w:val="0"/>
              <w:spacing w:after="0" w:line="240" w:lineRule="auto"/>
              <w:jc w:val="both"/>
              <w:rPr>
                <w:rFonts w:ascii="Arial" w:hAnsi="Arial" w:cs="Arial"/>
              </w:rPr>
            </w:pPr>
            <w:r w:rsidRPr="009D31FF">
              <w:rPr>
                <w:rFonts w:ascii="Arial" w:hAnsi="Arial" w:cs="Arial"/>
              </w:rPr>
              <w:t xml:space="preserve">La Oficina de Control Interno realizó la verificación del cumplimiento de los controles establecidos en el trimestre relacionado con las actividades planteadas para el manejo de </w:t>
            </w:r>
            <w:proofErr w:type="gramStart"/>
            <w:r w:rsidRPr="009D31FF">
              <w:rPr>
                <w:rFonts w:ascii="Arial" w:hAnsi="Arial" w:cs="Arial"/>
              </w:rPr>
              <w:t>los mismos</w:t>
            </w:r>
            <w:proofErr w:type="gramEnd"/>
            <w:r w:rsidRPr="009D31FF">
              <w:rPr>
                <w:rFonts w:ascii="Arial" w:hAnsi="Arial" w:cs="Arial"/>
              </w:rPr>
              <w:t>, mediante la observación de registros, entrevistas y evidencia objetiva.</w:t>
            </w:r>
          </w:p>
          <w:p w14:paraId="39A0BE0F" w14:textId="77777777" w:rsidR="00D17B2D" w:rsidRPr="009D31FF" w:rsidRDefault="00D17B2D" w:rsidP="00A0246F">
            <w:pPr>
              <w:pStyle w:val="Prrafodelista"/>
              <w:ind w:left="0"/>
              <w:rPr>
                <w:rFonts w:ascii="Arial" w:hAnsi="Arial" w:cs="Arial"/>
                <w:b/>
                <w:sz w:val="24"/>
                <w:szCs w:val="24"/>
              </w:rPr>
            </w:pPr>
          </w:p>
          <w:p w14:paraId="4B964950" w14:textId="77777777" w:rsidR="00D17B2D" w:rsidRPr="009D31FF" w:rsidRDefault="00D17B2D" w:rsidP="00A0246F">
            <w:pPr>
              <w:pStyle w:val="Prrafodelista"/>
              <w:ind w:left="0"/>
              <w:rPr>
                <w:rFonts w:ascii="Arial" w:hAnsi="Arial" w:cs="Arial"/>
                <w:b/>
                <w:sz w:val="24"/>
                <w:szCs w:val="24"/>
              </w:rPr>
            </w:pPr>
            <w:r w:rsidRPr="009D31FF">
              <w:rPr>
                <w:rFonts w:ascii="Arial" w:hAnsi="Arial" w:cs="Arial"/>
                <w:b/>
                <w:sz w:val="24"/>
                <w:szCs w:val="24"/>
              </w:rPr>
              <w:t>RESULTADO DEL SEGUIMIENTO</w:t>
            </w:r>
          </w:p>
          <w:p w14:paraId="5F876F4E" w14:textId="77777777" w:rsidR="00D17B2D" w:rsidRPr="009D31FF" w:rsidRDefault="00D17B2D" w:rsidP="00A0246F">
            <w:pPr>
              <w:spacing w:after="0" w:line="240" w:lineRule="auto"/>
              <w:jc w:val="both"/>
              <w:rPr>
                <w:rFonts w:ascii="Arial" w:hAnsi="Arial" w:cs="Arial"/>
              </w:rPr>
            </w:pPr>
            <w:r w:rsidRPr="009D31FF">
              <w:rPr>
                <w:rFonts w:ascii="Arial" w:hAnsi="Arial" w:cs="Arial"/>
              </w:rPr>
              <w:t xml:space="preserve">De acuerdo al seguimiento realizado al consolidado del mapa de riesgos institucional, se verificaron en el trimestre, Cuarenta y siete (47) riesgos de gestión   y los respectivos controles establecidos para los Veintiún (21) procesos existentes en la SSF. </w:t>
            </w:r>
          </w:p>
          <w:p w14:paraId="69C5FD18" w14:textId="77777777" w:rsidR="00D17B2D" w:rsidRPr="009D31FF" w:rsidRDefault="00D17B2D" w:rsidP="00A0246F">
            <w:pPr>
              <w:spacing w:after="0" w:line="240" w:lineRule="auto"/>
              <w:jc w:val="both"/>
              <w:rPr>
                <w:rFonts w:ascii="Arial" w:hAnsi="Arial" w:cs="Arial"/>
              </w:rPr>
            </w:pPr>
          </w:p>
          <w:p w14:paraId="6B8B61ED" w14:textId="48791604" w:rsidR="00D17B2D" w:rsidRDefault="00D17B2D" w:rsidP="00A0246F">
            <w:pPr>
              <w:spacing w:after="0" w:line="240" w:lineRule="auto"/>
              <w:jc w:val="both"/>
              <w:rPr>
                <w:rFonts w:ascii="Arial" w:hAnsi="Arial" w:cs="Arial"/>
              </w:rPr>
            </w:pPr>
            <w:r w:rsidRPr="009D31FF">
              <w:rPr>
                <w:rFonts w:ascii="Arial" w:hAnsi="Arial" w:cs="Arial"/>
              </w:rPr>
              <w:t xml:space="preserve">Se presenta el consolidado de riesgos por proceso de la entidad: </w:t>
            </w:r>
          </w:p>
          <w:p w14:paraId="684E6321" w14:textId="77777777" w:rsidR="003D1DC9" w:rsidRPr="009D31FF"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9D31FF"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77777777" w:rsidR="00D17B2D" w:rsidRPr="009D31FF" w:rsidRDefault="00D17B2D" w:rsidP="00A0246F">
                  <w:pPr>
                    <w:spacing w:after="0" w:line="240" w:lineRule="auto"/>
                    <w:jc w:val="center"/>
                    <w:rPr>
                      <w:rFonts w:eastAsia="Times New Roman" w:cs="Calibri"/>
                      <w:b/>
                      <w:bCs/>
                      <w:color w:val="000000"/>
                      <w:lang w:eastAsia="es-ES"/>
                    </w:rPr>
                  </w:pPr>
                  <w:r w:rsidRPr="009D31FF">
                    <w:rPr>
                      <w:rFonts w:eastAsia="Times New Roman" w:cs="Calibri"/>
                      <w:b/>
                      <w:bCs/>
                      <w:color w:val="000000"/>
                      <w:lang w:eastAsia="es-ES"/>
                    </w:rPr>
                    <w:t>RIESGOS DE GESTION AÑO 2018</w:t>
                  </w:r>
                </w:p>
              </w:tc>
            </w:tr>
            <w:tr w:rsidR="00D17B2D" w:rsidRPr="009D31FF"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9D31FF" w:rsidRDefault="00D17B2D" w:rsidP="00A0246F">
                  <w:pPr>
                    <w:spacing w:after="0" w:line="240" w:lineRule="auto"/>
                    <w:jc w:val="center"/>
                    <w:rPr>
                      <w:rFonts w:eastAsia="Times New Roman" w:cs="Calibri"/>
                      <w:b/>
                      <w:bCs/>
                      <w:color w:val="000000"/>
                      <w:lang w:eastAsia="es-ES"/>
                    </w:rPr>
                  </w:pPr>
                  <w:r w:rsidRPr="009D31FF">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77777777" w:rsidR="00D17B2D" w:rsidRPr="009D31FF" w:rsidRDefault="00D17B2D" w:rsidP="00A0246F">
                  <w:pPr>
                    <w:spacing w:after="0" w:line="240" w:lineRule="auto"/>
                    <w:jc w:val="center"/>
                    <w:rPr>
                      <w:rFonts w:eastAsia="Times New Roman" w:cs="Calibri"/>
                      <w:b/>
                      <w:bCs/>
                      <w:color w:val="000000"/>
                      <w:lang w:eastAsia="es-ES"/>
                    </w:rPr>
                  </w:pPr>
                  <w:r w:rsidRPr="009D31FF">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9D31FF" w:rsidRDefault="00D17B2D" w:rsidP="00A0246F">
                  <w:pPr>
                    <w:spacing w:after="0" w:line="240" w:lineRule="auto"/>
                    <w:jc w:val="center"/>
                    <w:rPr>
                      <w:rFonts w:eastAsia="Times New Roman" w:cs="Calibri"/>
                      <w:b/>
                      <w:bCs/>
                      <w:color w:val="000000"/>
                      <w:lang w:eastAsia="es-ES"/>
                    </w:rPr>
                  </w:pPr>
                  <w:r w:rsidRPr="009D31FF">
                    <w:rPr>
                      <w:rFonts w:eastAsia="Times New Roman" w:cs="Calibri"/>
                      <w:b/>
                      <w:bCs/>
                      <w:color w:val="000000"/>
                      <w:lang w:eastAsia="es-ES"/>
                    </w:rPr>
                    <w:t>No RIESGO</w:t>
                  </w:r>
                </w:p>
              </w:tc>
            </w:tr>
            <w:tr w:rsidR="00D17B2D" w:rsidRPr="009D31FF"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 xml:space="preserve">CONTROLFINANCIERO CONTABLE </w:t>
                  </w:r>
                  <w:r w:rsidR="00A90556" w:rsidRPr="009D31FF">
                    <w:rPr>
                      <w:rFonts w:eastAsia="Times New Roman" w:cs="Calibri"/>
                      <w:color w:val="000000"/>
                      <w:sz w:val="20"/>
                      <w:szCs w:val="20"/>
                      <w:lang w:eastAsia="es-ES"/>
                    </w:rPr>
                    <w:t>DE LAS</w:t>
                  </w:r>
                  <w:r w:rsidRPr="009D31FF">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4</w:t>
                  </w:r>
                </w:p>
              </w:tc>
            </w:tr>
            <w:tr w:rsidR="00D17B2D" w:rsidRPr="009D31FF"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INTEGRAL DEL RIESGO</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4</w:t>
                  </w:r>
                </w:p>
              </w:tc>
            </w:tr>
            <w:tr w:rsidR="00D17B2D" w:rsidRPr="009D31FF"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4</w:t>
                  </w:r>
                </w:p>
              </w:tc>
            </w:tr>
            <w:tr w:rsidR="00D17B2D" w:rsidRPr="009D31FF"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3</w:t>
                  </w:r>
                </w:p>
              </w:tc>
            </w:tr>
            <w:tr w:rsidR="00D17B2D" w:rsidRPr="009D31FF"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3</w:t>
                  </w:r>
                </w:p>
              </w:tc>
            </w:tr>
            <w:tr w:rsidR="00D17B2D" w:rsidRPr="009D31FF"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w:t>
                  </w:r>
                </w:p>
              </w:tc>
            </w:tr>
            <w:tr w:rsidR="00D17B2D" w:rsidRPr="009D31FF"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3</w:t>
                  </w:r>
                </w:p>
              </w:tc>
            </w:tr>
            <w:tr w:rsidR="00D17B2D" w:rsidRPr="009D31FF"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9D31FF" w:rsidRDefault="00D17B2D" w:rsidP="00A0246F">
                  <w:pPr>
                    <w:spacing w:after="0" w:line="240" w:lineRule="auto"/>
                    <w:rPr>
                      <w:rFonts w:eastAsia="Times New Roman" w:cs="Calibri"/>
                      <w:color w:val="000000"/>
                      <w:sz w:val="20"/>
                      <w:szCs w:val="20"/>
                      <w:lang w:eastAsia="es-ES"/>
                    </w:rPr>
                  </w:pPr>
                  <w:r w:rsidRPr="009D31FF">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77777777" w:rsidR="00D17B2D" w:rsidRPr="009D31FF" w:rsidRDefault="00D17B2D" w:rsidP="00A0246F">
                  <w:pPr>
                    <w:spacing w:after="0" w:line="240" w:lineRule="auto"/>
                    <w:jc w:val="center"/>
                    <w:rPr>
                      <w:rFonts w:eastAsia="Times New Roman" w:cs="Calibri"/>
                      <w:color w:val="000000"/>
                      <w:sz w:val="20"/>
                      <w:szCs w:val="20"/>
                      <w:lang w:eastAsia="es-ES"/>
                    </w:rPr>
                  </w:pPr>
                  <w:r w:rsidRPr="009D31FF">
                    <w:rPr>
                      <w:rFonts w:eastAsia="Times New Roman" w:cs="Calibri"/>
                      <w:color w:val="000000"/>
                      <w:sz w:val="20"/>
                      <w:szCs w:val="20"/>
                      <w:lang w:eastAsia="es-ES"/>
                    </w:rPr>
                    <w:t>2</w:t>
                  </w:r>
                </w:p>
              </w:tc>
            </w:tr>
            <w:tr w:rsidR="00D17B2D" w:rsidRPr="009D31FF"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9D31FF" w:rsidRDefault="00D17B2D" w:rsidP="00A0246F">
                  <w:pPr>
                    <w:spacing w:after="0" w:line="240" w:lineRule="auto"/>
                    <w:jc w:val="center"/>
                    <w:rPr>
                      <w:rFonts w:eastAsia="Times New Roman" w:cs="Calibri"/>
                      <w:color w:val="000000"/>
                      <w:lang w:eastAsia="es-ES"/>
                    </w:rPr>
                  </w:pPr>
                  <w:r w:rsidRPr="009D31FF">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9D31FF" w:rsidRDefault="00D17B2D" w:rsidP="00A0246F">
                  <w:pPr>
                    <w:spacing w:after="0" w:line="240" w:lineRule="auto"/>
                    <w:rPr>
                      <w:rFonts w:eastAsia="Times New Roman" w:cs="Calibri"/>
                      <w:color w:val="000000"/>
                      <w:lang w:eastAsia="es-ES"/>
                    </w:rPr>
                  </w:pPr>
                  <w:r w:rsidRPr="009D31FF">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77777777" w:rsidR="00D17B2D" w:rsidRPr="009D31FF" w:rsidRDefault="00D17B2D" w:rsidP="00A0246F">
                  <w:pPr>
                    <w:spacing w:after="0" w:line="240" w:lineRule="auto"/>
                    <w:jc w:val="center"/>
                    <w:rPr>
                      <w:rFonts w:eastAsia="Times New Roman" w:cs="Calibri"/>
                      <w:color w:val="000000"/>
                      <w:lang w:eastAsia="es-ES"/>
                    </w:rPr>
                  </w:pPr>
                  <w:r w:rsidRPr="009D31FF">
                    <w:rPr>
                      <w:rFonts w:eastAsia="Times New Roman" w:cs="Calibri"/>
                      <w:color w:val="000000"/>
                      <w:lang w:eastAsia="es-ES"/>
                    </w:rPr>
                    <w:t>4</w:t>
                  </w:r>
                </w:p>
              </w:tc>
            </w:tr>
            <w:tr w:rsidR="00D17B2D" w:rsidRPr="009D31FF"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9D31FF" w:rsidRDefault="00D17B2D" w:rsidP="00A0246F">
                  <w:pPr>
                    <w:spacing w:after="0" w:line="240" w:lineRule="auto"/>
                    <w:rPr>
                      <w:rFonts w:eastAsia="Times New Roman" w:cs="Calibri"/>
                      <w:color w:val="000000"/>
                      <w:lang w:eastAsia="es-ES"/>
                    </w:rPr>
                  </w:pPr>
                  <w:r w:rsidRPr="009D31FF">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7A7D2BA9" w:rsidR="00D17B2D" w:rsidRPr="009D31FF" w:rsidRDefault="00D17B2D" w:rsidP="00A0246F">
                  <w:pPr>
                    <w:spacing w:after="0" w:line="240" w:lineRule="auto"/>
                    <w:rPr>
                      <w:rFonts w:eastAsia="Times New Roman" w:cs="Calibri"/>
                      <w:b/>
                      <w:bCs/>
                      <w:color w:val="000000"/>
                      <w:lang w:eastAsia="es-ES"/>
                    </w:rPr>
                  </w:pPr>
                  <w:proofErr w:type="gramStart"/>
                  <w:r w:rsidRPr="009D31FF">
                    <w:rPr>
                      <w:rFonts w:eastAsia="Times New Roman" w:cs="Calibri"/>
                      <w:b/>
                      <w:bCs/>
                      <w:color w:val="000000"/>
                      <w:lang w:eastAsia="es-ES"/>
                    </w:rPr>
                    <w:t>TOTAL</w:t>
                  </w:r>
                  <w:proofErr w:type="gramEnd"/>
                  <w:r w:rsidR="00D06538">
                    <w:rPr>
                      <w:rFonts w:eastAsia="Times New Roman" w:cs="Calibri"/>
                      <w:b/>
                      <w:bCs/>
                      <w:color w:val="000000"/>
                      <w:lang w:eastAsia="es-ES"/>
                    </w:rPr>
                    <w:t xml:space="preserve"> </w:t>
                  </w:r>
                  <w:r w:rsidRPr="009D31FF">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77777777" w:rsidR="00D17B2D" w:rsidRPr="009D31FF" w:rsidRDefault="00D17B2D" w:rsidP="00A0246F">
                  <w:pPr>
                    <w:spacing w:after="0" w:line="240" w:lineRule="auto"/>
                    <w:jc w:val="center"/>
                    <w:rPr>
                      <w:rFonts w:eastAsia="Times New Roman" w:cs="Calibri"/>
                      <w:b/>
                      <w:bCs/>
                      <w:color w:val="000000"/>
                      <w:lang w:eastAsia="es-ES"/>
                    </w:rPr>
                  </w:pPr>
                  <w:r w:rsidRPr="009D31FF">
                    <w:rPr>
                      <w:rFonts w:eastAsia="Times New Roman" w:cs="Calibri"/>
                      <w:b/>
                      <w:bCs/>
                      <w:color w:val="000000"/>
                      <w:lang w:eastAsia="es-ES"/>
                    </w:rPr>
                    <w:t>47</w:t>
                  </w:r>
                </w:p>
              </w:tc>
            </w:tr>
          </w:tbl>
          <w:p w14:paraId="206CE984" w14:textId="77777777" w:rsidR="00D17B2D" w:rsidRPr="009D31FF" w:rsidRDefault="00D17B2D" w:rsidP="00A0246F">
            <w:pPr>
              <w:pStyle w:val="Prrafodelista"/>
              <w:ind w:left="0"/>
              <w:jc w:val="both"/>
              <w:rPr>
                <w:rFonts w:ascii="Arial" w:hAnsi="Arial" w:cs="Arial"/>
              </w:rPr>
            </w:pPr>
          </w:p>
          <w:p w14:paraId="0D473E07" w14:textId="77777777" w:rsidR="00D17B2D" w:rsidRPr="009D31FF" w:rsidRDefault="00D17B2D" w:rsidP="00A0246F">
            <w:pPr>
              <w:spacing w:after="0" w:line="240" w:lineRule="auto"/>
              <w:jc w:val="both"/>
              <w:rPr>
                <w:rFonts w:ascii="Arial" w:hAnsi="Arial" w:cs="Arial"/>
              </w:rPr>
            </w:pPr>
            <w:r w:rsidRPr="009D31FF">
              <w:rPr>
                <w:rFonts w:ascii="Arial" w:hAnsi="Arial" w:cs="Arial"/>
              </w:rPr>
              <w:t xml:space="preserve">Para esta verificación se analizan principalmente 4 factores: </w:t>
            </w:r>
          </w:p>
          <w:p w14:paraId="01235A8E" w14:textId="77777777" w:rsidR="00D17B2D" w:rsidRPr="009D31FF" w:rsidRDefault="00D17B2D" w:rsidP="00A0246F">
            <w:pPr>
              <w:spacing w:after="0" w:line="240" w:lineRule="auto"/>
              <w:jc w:val="both"/>
              <w:rPr>
                <w:rFonts w:ascii="Arial" w:hAnsi="Arial" w:cs="Arial"/>
              </w:rPr>
            </w:pPr>
          </w:p>
          <w:p w14:paraId="44559C0E" w14:textId="77777777" w:rsidR="00D17B2D" w:rsidRPr="009D31FF" w:rsidRDefault="00D17B2D" w:rsidP="00D17B2D">
            <w:pPr>
              <w:pStyle w:val="Prrafodelista"/>
              <w:numPr>
                <w:ilvl w:val="0"/>
                <w:numId w:val="10"/>
              </w:numPr>
              <w:spacing w:after="0" w:line="240" w:lineRule="auto"/>
              <w:jc w:val="both"/>
              <w:rPr>
                <w:rFonts w:ascii="Arial" w:hAnsi="Arial" w:cs="Arial"/>
              </w:rPr>
            </w:pPr>
            <w:r w:rsidRPr="009D31FF">
              <w:rPr>
                <w:rFonts w:ascii="Arial" w:hAnsi="Arial" w:cs="Arial"/>
                <w:i/>
              </w:rPr>
              <w:t>Si los controles están documentados</w:t>
            </w:r>
            <w:r w:rsidRPr="009D31FF">
              <w:rPr>
                <w:rFonts w:ascii="Arial" w:hAnsi="Arial" w:cs="Arial"/>
              </w:rPr>
              <w:t>, permitiendo conocer cómo se lleva a cabo el control, quién es el responsable de su ejecución y cuál es la periodicidad para su ejecución.</w:t>
            </w:r>
          </w:p>
          <w:p w14:paraId="23508DD8" w14:textId="77777777" w:rsidR="00D17B2D" w:rsidRPr="009D31FF" w:rsidRDefault="00D17B2D" w:rsidP="00A0246F">
            <w:pPr>
              <w:pStyle w:val="Prrafodelista"/>
              <w:spacing w:after="0" w:line="240" w:lineRule="auto"/>
              <w:jc w:val="both"/>
              <w:rPr>
                <w:rFonts w:ascii="Arial" w:hAnsi="Arial" w:cs="Arial"/>
                <w:i/>
              </w:rPr>
            </w:pPr>
          </w:p>
          <w:p w14:paraId="02938815" w14:textId="77777777" w:rsidR="00D17B2D" w:rsidRPr="009D31FF" w:rsidRDefault="00D17B2D" w:rsidP="00D17B2D">
            <w:pPr>
              <w:pStyle w:val="Prrafodelista"/>
              <w:numPr>
                <w:ilvl w:val="0"/>
                <w:numId w:val="10"/>
              </w:numPr>
              <w:spacing w:after="0" w:line="240" w:lineRule="auto"/>
              <w:jc w:val="both"/>
              <w:rPr>
                <w:rFonts w:ascii="Arial" w:hAnsi="Arial" w:cs="Arial"/>
              </w:rPr>
            </w:pPr>
            <w:r w:rsidRPr="009D31FF">
              <w:rPr>
                <w:rFonts w:ascii="Arial" w:hAnsi="Arial" w:cs="Arial"/>
                <w:i/>
              </w:rPr>
              <w:t>Si el control que se implementa es automático o manual</w:t>
            </w:r>
            <w:r w:rsidRPr="009D31FF">
              <w:rPr>
                <w:rFonts w:ascii="Arial" w:hAnsi="Arial" w:cs="Arial"/>
              </w:rPr>
              <w:t>, para los controles automáticos se utilizan herramientas tecnológicas y para los controles manuales se utilizan políticas de operación aplicables como autorizaciones a través de firmas o confirmaciones vía correo electrónico, archivos físicos, consecutivos, listas de chequeo, controles de seguridad con personal especializado, entre otros.</w:t>
            </w:r>
          </w:p>
          <w:p w14:paraId="70D84333" w14:textId="77777777" w:rsidR="00D17B2D" w:rsidRPr="009D31FF" w:rsidRDefault="00D17B2D" w:rsidP="00A0246F">
            <w:pPr>
              <w:pStyle w:val="Prrafodelista"/>
              <w:rPr>
                <w:rFonts w:ascii="Arial" w:hAnsi="Arial" w:cs="Arial"/>
              </w:rPr>
            </w:pPr>
          </w:p>
          <w:p w14:paraId="3396F6DD" w14:textId="77777777" w:rsidR="00D17B2D" w:rsidRPr="009D31FF" w:rsidRDefault="00D17B2D" w:rsidP="00D17B2D">
            <w:pPr>
              <w:pStyle w:val="Prrafodelista"/>
              <w:numPr>
                <w:ilvl w:val="0"/>
                <w:numId w:val="10"/>
              </w:numPr>
              <w:spacing w:after="0" w:line="240" w:lineRule="auto"/>
              <w:jc w:val="both"/>
              <w:rPr>
                <w:rFonts w:ascii="Arial" w:hAnsi="Arial" w:cs="Arial"/>
              </w:rPr>
            </w:pPr>
            <w:r w:rsidRPr="009D31FF">
              <w:rPr>
                <w:rFonts w:ascii="Arial" w:hAnsi="Arial" w:cs="Arial"/>
                <w:i/>
              </w:rPr>
              <w:t>Si los controles se están aplicando en la actualidad</w:t>
            </w:r>
            <w:r w:rsidRPr="009D31FF">
              <w:rPr>
                <w:rFonts w:ascii="Arial" w:hAnsi="Arial" w:cs="Arial"/>
              </w:rPr>
              <w:t xml:space="preserve">, que no se quedan en el papel y son conocidos y ejecutados, por los responsables. </w:t>
            </w:r>
          </w:p>
          <w:p w14:paraId="41894617" w14:textId="77777777" w:rsidR="00D17B2D" w:rsidRPr="009D31FF" w:rsidRDefault="00D17B2D" w:rsidP="00A0246F">
            <w:pPr>
              <w:pStyle w:val="Prrafodelista"/>
              <w:rPr>
                <w:rFonts w:ascii="Arial" w:hAnsi="Arial" w:cs="Arial"/>
              </w:rPr>
            </w:pPr>
          </w:p>
          <w:p w14:paraId="4A52B6F9" w14:textId="77777777" w:rsidR="00D17B2D" w:rsidRPr="009D31FF" w:rsidRDefault="00D17B2D" w:rsidP="00D17B2D">
            <w:pPr>
              <w:pStyle w:val="Prrafodelista"/>
              <w:numPr>
                <w:ilvl w:val="0"/>
                <w:numId w:val="10"/>
              </w:numPr>
              <w:spacing w:after="0" w:line="240" w:lineRule="auto"/>
              <w:jc w:val="both"/>
              <w:rPr>
                <w:rFonts w:ascii="Arial" w:hAnsi="Arial" w:cs="Arial"/>
              </w:rPr>
            </w:pPr>
            <w:r w:rsidRPr="009D31FF">
              <w:rPr>
                <w:rFonts w:ascii="Arial" w:hAnsi="Arial" w:cs="Arial"/>
                <w:i/>
              </w:rPr>
              <w:t>Si los controles han sido efectivos para el tratamiento del riesgo</w:t>
            </w:r>
            <w:r w:rsidRPr="009D31FF">
              <w:rPr>
                <w:rFonts w:ascii="Arial" w:hAnsi="Arial" w:cs="Arial"/>
              </w:rPr>
              <w:t>, garantizando que el riesgo inherente puede disminuir en probabilidad de ocurrencia y/o severidad, minimizando el riesgo calificado como amenaza o vulnerabilidad.</w:t>
            </w:r>
          </w:p>
          <w:p w14:paraId="62424765" w14:textId="77777777" w:rsidR="00D17B2D" w:rsidRPr="009D31FF" w:rsidRDefault="00D17B2D" w:rsidP="00A0246F">
            <w:pPr>
              <w:spacing w:after="0" w:line="240" w:lineRule="auto"/>
              <w:jc w:val="both"/>
              <w:rPr>
                <w:rFonts w:ascii="Arial" w:hAnsi="Arial" w:cs="Arial"/>
              </w:rPr>
            </w:pPr>
          </w:p>
          <w:p w14:paraId="704B9D14" w14:textId="77777777" w:rsidR="00950D60" w:rsidRDefault="00D17B2D" w:rsidP="00950D60">
            <w:pPr>
              <w:jc w:val="both"/>
              <w:rPr>
                <w:rFonts w:ascii="Arial" w:hAnsi="Arial" w:cs="Arial"/>
              </w:rPr>
            </w:pPr>
            <w:r w:rsidRPr="009D31FF">
              <w:rPr>
                <w:rFonts w:ascii="Arial" w:hAnsi="Arial" w:cs="Arial"/>
              </w:rPr>
              <w:t>En la verificación realizada por la Oficina de Control Interno a los reportes presentados a los riesgos correspondientes del I trimestre del 2019, se evidencia la materialización de dos (2) riesgos:</w:t>
            </w:r>
          </w:p>
          <w:p w14:paraId="57C39EF1" w14:textId="4465E98D" w:rsidR="00950D60" w:rsidRDefault="00950D60" w:rsidP="00950D60">
            <w:pPr>
              <w:jc w:val="both"/>
              <w:rPr>
                <w:rFonts w:ascii="Arial" w:hAnsi="Arial" w:cs="Arial"/>
              </w:rPr>
            </w:pPr>
            <w:r>
              <w:rPr>
                <w:rFonts w:ascii="Arial" w:hAnsi="Arial" w:cs="Arial"/>
              </w:rPr>
              <w:t xml:space="preserve"> A continuación, se relacionan los riesgos materializados (anexo cuadro enviado por la oficina jurídica), donde se evidencian </w:t>
            </w:r>
            <w:r w:rsidR="00BA21F0">
              <w:rPr>
                <w:rFonts w:ascii="Arial" w:hAnsi="Arial" w:cs="Arial"/>
              </w:rPr>
              <w:t>que los controles establecidos no fueron ef</w:t>
            </w:r>
            <w:r w:rsidR="002125FF">
              <w:rPr>
                <w:rFonts w:ascii="Arial" w:hAnsi="Arial" w:cs="Arial"/>
              </w:rPr>
              <w:t>icientes</w:t>
            </w:r>
            <w:r>
              <w:rPr>
                <w:rFonts w:ascii="Arial" w:hAnsi="Arial" w:cs="Arial"/>
              </w:rPr>
              <w:t>:</w:t>
            </w:r>
          </w:p>
          <w:p w14:paraId="4D332983" w14:textId="77777777" w:rsidR="00D2285C" w:rsidRDefault="00D2285C" w:rsidP="00950D60">
            <w:pPr>
              <w:jc w:val="both"/>
              <w:rPr>
                <w:rFonts w:ascii="Arial" w:hAnsi="Arial" w:cs="Arial"/>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1"/>
              <w:gridCol w:w="1396"/>
              <w:gridCol w:w="1448"/>
              <w:gridCol w:w="4156"/>
              <w:gridCol w:w="1234"/>
            </w:tblGrid>
            <w:tr w:rsidR="00950D60" w:rsidRPr="00180299" w14:paraId="130EA9B5" w14:textId="77777777" w:rsidTr="00BC7823">
              <w:trPr>
                <w:trHeight w:val="704"/>
              </w:trPr>
              <w:tc>
                <w:tcPr>
                  <w:tcW w:w="1151" w:type="dxa"/>
                  <w:vMerge w:val="restart"/>
                  <w:shd w:val="clear" w:color="auto" w:fill="auto"/>
                  <w:noWrap/>
                  <w:vAlign w:val="center"/>
                  <w:hideMark/>
                </w:tcPr>
                <w:p w14:paraId="764C83E7" w14:textId="0F1D7770" w:rsidR="00950D60" w:rsidRPr="0020084B" w:rsidRDefault="00950D60" w:rsidP="00950D60">
                  <w:pPr>
                    <w:spacing w:after="0" w:line="240" w:lineRule="auto"/>
                    <w:jc w:val="center"/>
                    <w:rPr>
                      <w:rFonts w:ascii="Arial" w:eastAsia="Times New Roman" w:hAnsi="Arial" w:cs="Arial"/>
                      <w:b/>
                      <w:bCs/>
                      <w:color w:val="000000"/>
                      <w:sz w:val="16"/>
                      <w:szCs w:val="16"/>
                      <w:lang w:val="es-CO" w:eastAsia="es-CO"/>
                    </w:rPr>
                  </w:pPr>
                  <w:r w:rsidRPr="0020084B">
                    <w:rPr>
                      <w:rFonts w:ascii="Arial" w:eastAsia="Times New Roman" w:hAnsi="Arial" w:cs="Arial"/>
                      <w:b/>
                      <w:bCs/>
                      <w:color w:val="000000"/>
                      <w:sz w:val="16"/>
                      <w:szCs w:val="16"/>
                      <w:lang w:val="es-CO" w:eastAsia="es-CO"/>
                    </w:rPr>
                    <w:t>IESGO</w:t>
                  </w:r>
                </w:p>
              </w:tc>
              <w:tc>
                <w:tcPr>
                  <w:tcW w:w="1396" w:type="dxa"/>
                  <w:vMerge w:val="restart"/>
                  <w:shd w:val="clear" w:color="auto" w:fill="auto"/>
                  <w:noWrap/>
                  <w:vAlign w:val="center"/>
                  <w:hideMark/>
                </w:tcPr>
                <w:p w14:paraId="706D2B74" w14:textId="77777777" w:rsidR="00950D60" w:rsidRPr="0020084B" w:rsidRDefault="00950D60" w:rsidP="00950D60">
                  <w:pPr>
                    <w:spacing w:after="0" w:line="240" w:lineRule="auto"/>
                    <w:jc w:val="center"/>
                    <w:rPr>
                      <w:rFonts w:ascii="Arial" w:eastAsia="Times New Roman" w:hAnsi="Arial" w:cs="Arial"/>
                      <w:b/>
                      <w:bCs/>
                      <w:color w:val="000000"/>
                      <w:sz w:val="16"/>
                      <w:szCs w:val="16"/>
                      <w:lang w:val="es-CO" w:eastAsia="es-CO"/>
                    </w:rPr>
                  </w:pPr>
                  <w:r w:rsidRPr="0020084B">
                    <w:rPr>
                      <w:rFonts w:ascii="Arial" w:eastAsia="Times New Roman" w:hAnsi="Arial" w:cs="Arial"/>
                      <w:b/>
                      <w:bCs/>
                      <w:color w:val="000000"/>
                      <w:sz w:val="16"/>
                      <w:szCs w:val="16"/>
                      <w:lang w:val="es-CO" w:eastAsia="es-CO"/>
                    </w:rPr>
                    <w:t>CONTROLES</w:t>
                  </w:r>
                </w:p>
              </w:tc>
              <w:tc>
                <w:tcPr>
                  <w:tcW w:w="1448" w:type="dxa"/>
                  <w:vMerge w:val="restart"/>
                  <w:shd w:val="clear" w:color="auto" w:fill="auto"/>
                  <w:vAlign w:val="center"/>
                  <w:hideMark/>
                </w:tcPr>
                <w:p w14:paraId="2728E8C5" w14:textId="77777777" w:rsidR="00950D60" w:rsidRPr="0020084B" w:rsidRDefault="00950D60" w:rsidP="00950D60">
                  <w:pPr>
                    <w:spacing w:after="0" w:line="240" w:lineRule="auto"/>
                    <w:jc w:val="center"/>
                    <w:rPr>
                      <w:rFonts w:ascii="Arial" w:eastAsia="Times New Roman" w:hAnsi="Arial" w:cs="Arial"/>
                      <w:b/>
                      <w:bCs/>
                      <w:color w:val="000000"/>
                      <w:sz w:val="16"/>
                      <w:szCs w:val="16"/>
                      <w:lang w:val="es-CO" w:eastAsia="es-CO"/>
                    </w:rPr>
                  </w:pPr>
                  <w:r w:rsidRPr="0020084B">
                    <w:rPr>
                      <w:rFonts w:ascii="Arial" w:eastAsia="Times New Roman" w:hAnsi="Arial" w:cs="Arial"/>
                      <w:b/>
                      <w:bCs/>
                      <w:color w:val="000000"/>
                      <w:sz w:val="16"/>
                      <w:szCs w:val="16"/>
                      <w:lang w:val="es-CO" w:eastAsia="es-CO"/>
                    </w:rPr>
                    <w:t xml:space="preserve">EFECTIVIDAD </w:t>
                  </w:r>
                  <w:r w:rsidRPr="0020084B">
                    <w:rPr>
                      <w:rFonts w:ascii="Arial" w:eastAsia="Times New Roman" w:hAnsi="Arial" w:cs="Arial"/>
                      <w:b/>
                      <w:bCs/>
                      <w:color w:val="000000"/>
                      <w:sz w:val="16"/>
                      <w:szCs w:val="16"/>
                      <w:lang w:val="es-CO" w:eastAsia="es-CO"/>
                    </w:rPr>
                    <w:br/>
                    <w:t>DE LOS CONTROLES</w:t>
                  </w:r>
                </w:p>
              </w:tc>
              <w:tc>
                <w:tcPr>
                  <w:tcW w:w="4156" w:type="dxa"/>
                  <w:vMerge w:val="restart"/>
                  <w:shd w:val="clear" w:color="auto" w:fill="auto"/>
                  <w:vAlign w:val="center"/>
                  <w:hideMark/>
                </w:tcPr>
                <w:p w14:paraId="67768922" w14:textId="77777777" w:rsidR="00950D60" w:rsidRPr="0020084B" w:rsidRDefault="00950D60" w:rsidP="00950D60">
                  <w:pPr>
                    <w:spacing w:after="0" w:line="240" w:lineRule="auto"/>
                    <w:jc w:val="center"/>
                    <w:rPr>
                      <w:rFonts w:ascii="Arial" w:eastAsia="Times New Roman" w:hAnsi="Arial" w:cs="Arial"/>
                      <w:b/>
                      <w:bCs/>
                      <w:color w:val="000000"/>
                      <w:sz w:val="16"/>
                      <w:szCs w:val="16"/>
                      <w:lang w:val="es-CO" w:eastAsia="es-CO"/>
                    </w:rPr>
                  </w:pPr>
                  <w:r w:rsidRPr="0020084B">
                    <w:rPr>
                      <w:rFonts w:ascii="Arial" w:eastAsia="Times New Roman" w:hAnsi="Arial" w:cs="Arial"/>
                      <w:b/>
                      <w:bCs/>
                      <w:color w:val="000000"/>
                      <w:sz w:val="16"/>
                      <w:szCs w:val="16"/>
                      <w:lang w:val="es-CO" w:eastAsia="es-CO"/>
                    </w:rPr>
                    <w:t>ACTIVIDADES</w:t>
                  </w:r>
                  <w:r w:rsidRPr="0020084B">
                    <w:rPr>
                      <w:rFonts w:ascii="Arial" w:eastAsia="Times New Roman" w:hAnsi="Arial" w:cs="Arial"/>
                      <w:b/>
                      <w:bCs/>
                      <w:color w:val="000000"/>
                      <w:sz w:val="16"/>
                      <w:szCs w:val="16"/>
                      <w:lang w:val="es-CO" w:eastAsia="es-CO"/>
                    </w:rPr>
                    <w:br/>
                    <w:t xml:space="preserve"> REALIZADAS</w:t>
                  </w:r>
                </w:p>
              </w:tc>
              <w:tc>
                <w:tcPr>
                  <w:tcW w:w="1234" w:type="dxa"/>
                  <w:shd w:val="clear" w:color="auto" w:fill="auto"/>
                  <w:vAlign w:val="center"/>
                  <w:hideMark/>
                </w:tcPr>
                <w:p w14:paraId="4977C6B3" w14:textId="77777777" w:rsidR="00950D60" w:rsidRPr="0020084B" w:rsidRDefault="00950D60" w:rsidP="00950D60">
                  <w:pPr>
                    <w:spacing w:after="0" w:line="240" w:lineRule="auto"/>
                    <w:jc w:val="center"/>
                    <w:rPr>
                      <w:rFonts w:ascii="Arial" w:eastAsia="Times New Roman" w:hAnsi="Arial" w:cs="Arial"/>
                      <w:b/>
                      <w:bCs/>
                      <w:color w:val="000000"/>
                      <w:sz w:val="16"/>
                      <w:szCs w:val="16"/>
                      <w:lang w:val="es-CO" w:eastAsia="es-CO"/>
                    </w:rPr>
                  </w:pPr>
                  <w:r w:rsidRPr="0020084B">
                    <w:rPr>
                      <w:rFonts w:ascii="Arial" w:eastAsia="Times New Roman" w:hAnsi="Arial" w:cs="Arial"/>
                      <w:b/>
                      <w:bCs/>
                      <w:color w:val="000000"/>
                      <w:sz w:val="16"/>
                      <w:szCs w:val="16"/>
                      <w:lang w:val="es-CO" w:eastAsia="es-CO"/>
                    </w:rPr>
                    <w:t xml:space="preserve">SE </w:t>
                  </w:r>
                  <w:r w:rsidRPr="0020084B">
                    <w:rPr>
                      <w:rFonts w:ascii="Arial" w:eastAsia="Times New Roman" w:hAnsi="Arial" w:cs="Arial"/>
                      <w:b/>
                      <w:bCs/>
                      <w:color w:val="000000"/>
                      <w:sz w:val="16"/>
                      <w:szCs w:val="16"/>
                      <w:lang w:val="es-CO" w:eastAsia="es-CO"/>
                    </w:rPr>
                    <w:br/>
                    <w:t xml:space="preserve">MATERIALIZO EL RIEGO? </w:t>
                  </w:r>
                </w:p>
              </w:tc>
            </w:tr>
            <w:tr w:rsidR="00950D60" w:rsidRPr="00180299" w14:paraId="75772681" w14:textId="77777777" w:rsidTr="00BC7823">
              <w:trPr>
                <w:trHeight w:val="70"/>
              </w:trPr>
              <w:tc>
                <w:tcPr>
                  <w:tcW w:w="1151" w:type="dxa"/>
                  <w:vMerge/>
                  <w:vAlign w:val="center"/>
                  <w:hideMark/>
                </w:tcPr>
                <w:p w14:paraId="34912EB7" w14:textId="77777777" w:rsidR="00950D60" w:rsidRPr="0020084B" w:rsidRDefault="00950D60" w:rsidP="00950D60">
                  <w:pPr>
                    <w:spacing w:after="0" w:line="240" w:lineRule="auto"/>
                    <w:rPr>
                      <w:rFonts w:ascii="Arial" w:eastAsia="Times New Roman" w:hAnsi="Arial" w:cs="Arial"/>
                      <w:b/>
                      <w:bCs/>
                      <w:color w:val="000000"/>
                      <w:sz w:val="16"/>
                      <w:szCs w:val="16"/>
                      <w:lang w:val="es-CO" w:eastAsia="es-CO"/>
                    </w:rPr>
                  </w:pPr>
                </w:p>
              </w:tc>
              <w:tc>
                <w:tcPr>
                  <w:tcW w:w="1396" w:type="dxa"/>
                  <w:vMerge/>
                  <w:vAlign w:val="center"/>
                  <w:hideMark/>
                </w:tcPr>
                <w:p w14:paraId="40B9F188" w14:textId="77777777" w:rsidR="00950D60" w:rsidRPr="0020084B" w:rsidRDefault="00950D60" w:rsidP="00950D60">
                  <w:pPr>
                    <w:spacing w:after="0" w:line="240" w:lineRule="auto"/>
                    <w:rPr>
                      <w:rFonts w:ascii="Arial" w:eastAsia="Times New Roman" w:hAnsi="Arial" w:cs="Arial"/>
                      <w:b/>
                      <w:bCs/>
                      <w:color w:val="000000"/>
                      <w:sz w:val="16"/>
                      <w:szCs w:val="16"/>
                      <w:lang w:val="es-CO" w:eastAsia="es-CO"/>
                    </w:rPr>
                  </w:pPr>
                </w:p>
              </w:tc>
              <w:tc>
                <w:tcPr>
                  <w:tcW w:w="1448" w:type="dxa"/>
                  <w:vMerge/>
                  <w:vAlign w:val="center"/>
                  <w:hideMark/>
                </w:tcPr>
                <w:p w14:paraId="3873BA16" w14:textId="77777777" w:rsidR="00950D60" w:rsidRPr="0020084B" w:rsidRDefault="00950D60" w:rsidP="00950D60">
                  <w:pPr>
                    <w:spacing w:after="0" w:line="240" w:lineRule="auto"/>
                    <w:rPr>
                      <w:rFonts w:ascii="Arial" w:eastAsia="Times New Roman" w:hAnsi="Arial" w:cs="Arial"/>
                      <w:b/>
                      <w:bCs/>
                      <w:color w:val="000000"/>
                      <w:sz w:val="16"/>
                      <w:szCs w:val="16"/>
                      <w:lang w:val="es-CO" w:eastAsia="es-CO"/>
                    </w:rPr>
                  </w:pPr>
                </w:p>
              </w:tc>
              <w:tc>
                <w:tcPr>
                  <w:tcW w:w="4156" w:type="dxa"/>
                  <w:vMerge/>
                  <w:vAlign w:val="center"/>
                  <w:hideMark/>
                </w:tcPr>
                <w:p w14:paraId="4AB6A300" w14:textId="77777777" w:rsidR="00950D60" w:rsidRPr="0020084B" w:rsidRDefault="00950D60" w:rsidP="00950D60">
                  <w:pPr>
                    <w:spacing w:after="0" w:line="240" w:lineRule="auto"/>
                    <w:rPr>
                      <w:rFonts w:ascii="Arial" w:eastAsia="Times New Roman" w:hAnsi="Arial" w:cs="Arial"/>
                      <w:b/>
                      <w:bCs/>
                      <w:color w:val="000000"/>
                      <w:sz w:val="16"/>
                      <w:szCs w:val="16"/>
                      <w:lang w:val="es-CO" w:eastAsia="es-CO"/>
                    </w:rPr>
                  </w:pPr>
                </w:p>
              </w:tc>
              <w:tc>
                <w:tcPr>
                  <w:tcW w:w="1234" w:type="dxa"/>
                  <w:shd w:val="clear" w:color="auto" w:fill="auto"/>
                  <w:noWrap/>
                  <w:vAlign w:val="bottom"/>
                  <w:hideMark/>
                </w:tcPr>
                <w:p w14:paraId="5B981C01"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SI</w:t>
                  </w:r>
                </w:p>
              </w:tc>
            </w:tr>
            <w:tr w:rsidR="00950D60" w:rsidRPr="00180299" w14:paraId="65C98C86" w14:textId="77777777" w:rsidTr="00BC7823">
              <w:trPr>
                <w:trHeight w:val="2886"/>
              </w:trPr>
              <w:tc>
                <w:tcPr>
                  <w:tcW w:w="1151" w:type="dxa"/>
                  <w:shd w:val="clear" w:color="auto" w:fill="auto"/>
                  <w:vAlign w:val="center"/>
                  <w:hideMark/>
                </w:tcPr>
                <w:p w14:paraId="770D2263"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 xml:space="preserve">Emisión de </w:t>
                  </w:r>
                  <w:r w:rsidRPr="0020084B">
                    <w:rPr>
                      <w:rFonts w:ascii="Arial" w:eastAsia="Times New Roman" w:hAnsi="Arial" w:cs="Arial"/>
                      <w:color w:val="000000"/>
                      <w:sz w:val="16"/>
                      <w:szCs w:val="16"/>
                      <w:lang w:val="es-CO" w:eastAsia="es-CO"/>
                    </w:rPr>
                    <w:br/>
                    <w:t>conceptos débiles y/o erróneos</w:t>
                  </w:r>
                </w:p>
              </w:tc>
              <w:tc>
                <w:tcPr>
                  <w:tcW w:w="1396" w:type="dxa"/>
                  <w:shd w:val="clear" w:color="auto" w:fill="auto"/>
                  <w:vAlign w:val="center"/>
                  <w:hideMark/>
                </w:tcPr>
                <w:p w14:paraId="4DED3629"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Capacitación de Personal.</w:t>
                  </w:r>
                  <w:r w:rsidRPr="0020084B">
                    <w:rPr>
                      <w:rFonts w:ascii="Arial" w:eastAsia="Times New Roman" w:hAnsi="Arial" w:cs="Arial"/>
                      <w:color w:val="000000"/>
                      <w:sz w:val="16"/>
                      <w:szCs w:val="16"/>
                      <w:lang w:val="es-CO" w:eastAsia="es-CO"/>
                    </w:rPr>
                    <w:br/>
                    <w:t>Revisión y aprobación por Jefe de Oficina.</w:t>
                  </w:r>
                  <w:r w:rsidRPr="0020084B">
                    <w:rPr>
                      <w:rFonts w:ascii="Arial" w:eastAsia="Times New Roman" w:hAnsi="Arial" w:cs="Arial"/>
                      <w:color w:val="000000"/>
                      <w:sz w:val="16"/>
                      <w:szCs w:val="16"/>
                      <w:lang w:val="es-CO" w:eastAsia="es-CO"/>
                    </w:rPr>
                    <w:br/>
                    <w:t>Herramienta para consulta de normatividad.</w:t>
                  </w:r>
                  <w:r w:rsidRPr="0020084B">
                    <w:rPr>
                      <w:rFonts w:ascii="Arial" w:eastAsia="Times New Roman" w:hAnsi="Arial" w:cs="Arial"/>
                      <w:color w:val="000000"/>
                      <w:sz w:val="16"/>
                      <w:szCs w:val="16"/>
                      <w:lang w:val="es-CO" w:eastAsia="es-CO"/>
                    </w:rPr>
                    <w:br/>
                    <w:t>Acceso a información a Plataforma Institucional.</w:t>
                  </w:r>
                </w:p>
              </w:tc>
              <w:tc>
                <w:tcPr>
                  <w:tcW w:w="1448" w:type="dxa"/>
                  <w:shd w:val="clear" w:color="auto" w:fill="auto"/>
                  <w:vAlign w:val="center"/>
                  <w:hideMark/>
                </w:tcPr>
                <w:p w14:paraId="2043A906"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Los controles establecidos no fueron efectivos en las actividades realizadas, por cuánto no se realizó el seguimiento al cumplimiento de los términos</w:t>
                  </w:r>
                </w:p>
              </w:tc>
              <w:tc>
                <w:tcPr>
                  <w:tcW w:w="4156" w:type="dxa"/>
                  <w:shd w:val="clear" w:color="auto" w:fill="auto"/>
                  <w:vAlign w:val="center"/>
                  <w:hideMark/>
                </w:tcPr>
                <w:p w14:paraId="5EB814C2" w14:textId="77777777" w:rsidR="00950D60" w:rsidRPr="0020084B" w:rsidRDefault="00950D60" w:rsidP="00950D60">
                  <w:pPr>
                    <w:spacing w:after="0" w:line="240" w:lineRule="auto"/>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 xml:space="preserve">En relación con las capacitaciones, al interior de la Oficina se discutieron diferentes temas jurídicos en las diferentes reuniones convocadas por la </w:t>
                  </w:r>
                  <w:proofErr w:type="gramStart"/>
                  <w:r w:rsidRPr="0020084B">
                    <w:rPr>
                      <w:rFonts w:ascii="Arial" w:eastAsia="Times New Roman" w:hAnsi="Arial" w:cs="Arial"/>
                      <w:color w:val="000000"/>
                      <w:sz w:val="16"/>
                      <w:szCs w:val="16"/>
                      <w:lang w:val="es-CO" w:eastAsia="es-CO"/>
                    </w:rPr>
                    <w:t>Jefe</w:t>
                  </w:r>
                  <w:proofErr w:type="gramEnd"/>
                  <w:r w:rsidRPr="0020084B">
                    <w:rPr>
                      <w:rFonts w:ascii="Arial" w:eastAsia="Times New Roman" w:hAnsi="Arial" w:cs="Arial"/>
                      <w:color w:val="000000"/>
                      <w:sz w:val="16"/>
                      <w:szCs w:val="16"/>
                      <w:lang w:val="es-CO" w:eastAsia="es-CO"/>
                    </w:rPr>
                    <w:t xml:space="preserve"> de la Oficina. </w:t>
                  </w:r>
                  <w:r w:rsidRPr="0020084B">
                    <w:rPr>
                      <w:rFonts w:ascii="Arial" w:eastAsia="Times New Roman" w:hAnsi="Arial" w:cs="Arial"/>
                      <w:color w:val="000000"/>
                      <w:sz w:val="16"/>
                      <w:szCs w:val="16"/>
                      <w:lang w:val="es-CO" w:eastAsia="es-CO"/>
                    </w:rPr>
                    <w:br/>
                    <w:t xml:space="preserve">Los conceptos emitidos fueron revisados </w:t>
                  </w:r>
                  <w:proofErr w:type="gramStart"/>
                  <w:r w:rsidRPr="0020084B">
                    <w:rPr>
                      <w:rFonts w:ascii="Arial" w:eastAsia="Times New Roman" w:hAnsi="Arial" w:cs="Arial"/>
                      <w:color w:val="000000"/>
                      <w:sz w:val="16"/>
                      <w:szCs w:val="16"/>
                      <w:lang w:val="es-CO" w:eastAsia="es-CO"/>
                    </w:rPr>
                    <w:t>por  la</w:t>
                  </w:r>
                  <w:proofErr w:type="gramEnd"/>
                  <w:r w:rsidRPr="0020084B">
                    <w:rPr>
                      <w:rFonts w:ascii="Arial" w:eastAsia="Times New Roman" w:hAnsi="Arial" w:cs="Arial"/>
                      <w:color w:val="000000"/>
                      <w:sz w:val="16"/>
                      <w:szCs w:val="16"/>
                      <w:lang w:val="es-CO" w:eastAsia="es-CO"/>
                    </w:rPr>
                    <w:t xml:space="preserve"> Jefe de la Oficina. </w:t>
                  </w:r>
                  <w:r w:rsidRPr="0020084B">
                    <w:rPr>
                      <w:rFonts w:ascii="Arial" w:eastAsia="Times New Roman" w:hAnsi="Arial" w:cs="Arial"/>
                      <w:color w:val="000000"/>
                      <w:sz w:val="16"/>
                      <w:szCs w:val="16"/>
                      <w:lang w:val="es-CO" w:eastAsia="es-CO"/>
                    </w:rPr>
                    <w:br/>
                    <w:t xml:space="preserve">Se cuenta con internet para consulta de la normatividad, así mismo se consulta la plataforma Lotus y la carpeta compartida de la Oficina en las cuales se encuentran los conceptos emitidos en años anteriores. </w:t>
                  </w:r>
                  <w:r w:rsidRPr="0020084B">
                    <w:rPr>
                      <w:rFonts w:ascii="Arial" w:eastAsia="Times New Roman" w:hAnsi="Arial" w:cs="Arial"/>
                      <w:color w:val="000000"/>
                      <w:sz w:val="16"/>
                      <w:szCs w:val="16"/>
                      <w:lang w:val="es-CO" w:eastAsia="es-CO"/>
                    </w:rPr>
                    <w:br/>
                    <w:t xml:space="preserve">Aún no se cuenta con la consulta por temas y por vigencia de los conceptos en la plataforma </w:t>
                  </w:r>
                  <w:proofErr w:type="spellStart"/>
                  <w:r w:rsidRPr="0020084B">
                    <w:rPr>
                      <w:rFonts w:ascii="Arial" w:eastAsia="Times New Roman" w:hAnsi="Arial" w:cs="Arial"/>
                      <w:color w:val="000000"/>
                      <w:sz w:val="16"/>
                      <w:szCs w:val="16"/>
                      <w:lang w:val="es-CO" w:eastAsia="es-CO"/>
                    </w:rPr>
                    <w:t>esigna</w:t>
                  </w:r>
                  <w:proofErr w:type="spellEnd"/>
                  <w:r w:rsidRPr="0020084B">
                    <w:rPr>
                      <w:rFonts w:ascii="Arial" w:eastAsia="Times New Roman" w:hAnsi="Arial" w:cs="Arial"/>
                      <w:color w:val="000000"/>
                      <w:sz w:val="16"/>
                      <w:szCs w:val="16"/>
                      <w:lang w:val="es-CO" w:eastAsia="es-CO"/>
                    </w:rPr>
                    <w:t>.</w:t>
                  </w:r>
                  <w:r w:rsidRPr="0020084B">
                    <w:rPr>
                      <w:rFonts w:ascii="Arial" w:eastAsia="Times New Roman" w:hAnsi="Arial" w:cs="Arial"/>
                      <w:color w:val="000000"/>
                      <w:sz w:val="16"/>
                      <w:szCs w:val="16"/>
                      <w:lang w:val="es-CO" w:eastAsia="es-CO"/>
                    </w:rPr>
                    <w:br/>
                    <w:t>En el Primer Trimestre de 2019 se atendieron:  Conceptos 42.</w:t>
                  </w:r>
                </w:p>
              </w:tc>
              <w:tc>
                <w:tcPr>
                  <w:tcW w:w="1234" w:type="dxa"/>
                  <w:shd w:val="clear" w:color="auto" w:fill="auto"/>
                  <w:noWrap/>
                  <w:vAlign w:val="center"/>
                  <w:hideMark/>
                </w:tcPr>
                <w:p w14:paraId="57013E8D"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x</w:t>
                  </w:r>
                </w:p>
              </w:tc>
            </w:tr>
            <w:tr w:rsidR="00950D60" w:rsidRPr="00180299" w14:paraId="591A0455" w14:textId="77777777" w:rsidTr="00BC7823">
              <w:trPr>
                <w:trHeight w:val="3461"/>
              </w:trPr>
              <w:tc>
                <w:tcPr>
                  <w:tcW w:w="1151" w:type="dxa"/>
                  <w:shd w:val="clear" w:color="auto" w:fill="auto"/>
                  <w:vAlign w:val="center"/>
                  <w:hideMark/>
                </w:tcPr>
                <w:p w14:paraId="0020E0B4"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lastRenderedPageBreak/>
                    <w:t>Inefectividad de la acción coactiva respecto de las acreencias a favor de la SSF</w:t>
                  </w:r>
                </w:p>
              </w:tc>
              <w:tc>
                <w:tcPr>
                  <w:tcW w:w="1396" w:type="dxa"/>
                  <w:shd w:val="clear" w:color="auto" w:fill="auto"/>
                  <w:vAlign w:val="center"/>
                  <w:hideMark/>
                </w:tcPr>
                <w:p w14:paraId="0858FBB6"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Revisión y aprobación por parte de la jefe de Oficina</w:t>
                  </w:r>
                  <w:r w:rsidRPr="0020084B">
                    <w:rPr>
                      <w:rFonts w:ascii="Arial" w:eastAsia="Times New Roman" w:hAnsi="Arial" w:cs="Arial"/>
                      <w:color w:val="000000"/>
                      <w:sz w:val="16"/>
                      <w:szCs w:val="16"/>
                      <w:lang w:val="es-CO" w:eastAsia="es-CO"/>
                    </w:rPr>
                    <w:br/>
                  </w:r>
                  <w:r w:rsidRPr="0020084B">
                    <w:rPr>
                      <w:rFonts w:ascii="Arial" w:eastAsia="Times New Roman" w:hAnsi="Arial" w:cs="Arial"/>
                      <w:color w:val="000000"/>
                      <w:sz w:val="16"/>
                      <w:szCs w:val="16"/>
                      <w:lang w:val="es-CO" w:eastAsia="es-CO"/>
                    </w:rPr>
                    <w:br/>
                    <w:t>Matriz de Control de estados de los sancionados</w:t>
                  </w:r>
                  <w:r w:rsidRPr="0020084B">
                    <w:rPr>
                      <w:rFonts w:ascii="Arial" w:eastAsia="Times New Roman" w:hAnsi="Arial" w:cs="Arial"/>
                      <w:color w:val="000000"/>
                      <w:sz w:val="16"/>
                      <w:szCs w:val="16"/>
                      <w:lang w:val="es-CO" w:eastAsia="es-CO"/>
                    </w:rPr>
                    <w:br/>
                  </w:r>
                  <w:r w:rsidRPr="0020084B">
                    <w:rPr>
                      <w:rFonts w:ascii="Arial" w:eastAsia="Times New Roman" w:hAnsi="Arial" w:cs="Arial"/>
                      <w:color w:val="000000"/>
                      <w:sz w:val="16"/>
                      <w:szCs w:val="16"/>
                      <w:lang w:val="es-CO" w:eastAsia="es-CO"/>
                    </w:rPr>
                    <w:br/>
                    <w:t xml:space="preserve">Matriz de recaudos de cobros coactivos </w:t>
                  </w:r>
                  <w:r w:rsidRPr="0020084B">
                    <w:rPr>
                      <w:rFonts w:ascii="Arial" w:eastAsia="Times New Roman" w:hAnsi="Arial" w:cs="Arial"/>
                      <w:color w:val="000000"/>
                      <w:sz w:val="16"/>
                      <w:szCs w:val="16"/>
                      <w:lang w:val="es-CO" w:eastAsia="es-CO"/>
                    </w:rPr>
                    <w:br/>
                  </w:r>
                  <w:r w:rsidRPr="0020084B">
                    <w:rPr>
                      <w:rFonts w:ascii="Arial" w:eastAsia="Times New Roman" w:hAnsi="Arial" w:cs="Arial"/>
                      <w:color w:val="000000"/>
                      <w:sz w:val="16"/>
                      <w:szCs w:val="16"/>
                      <w:lang w:val="es-CO" w:eastAsia="es-CO"/>
                    </w:rPr>
                    <w:br/>
                    <w:t>Personal Capacitado</w:t>
                  </w:r>
                  <w:r w:rsidRPr="0020084B">
                    <w:rPr>
                      <w:rFonts w:ascii="Arial" w:eastAsia="Times New Roman" w:hAnsi="Arial" w:cs="Arial"/>
                      <w:color w:val="000000"/>
                      <w:sz w:val="16"/>
                      <w:szCs w:val="16"/>
                      <w:lang w:val="es-CO" w:eastAsia="es-CO"/>
                    </w:rPr>
                    <w:br/>
                  </w:r>
                  <w:r w:rsidRPr="0020084B">
                    <w:rPr>
                      <w:rFonts w:ascii="Arial" w:eastAsia="Times New Roman" w:hAnsi="Arial" w:cs="Arial"/>
                      <w:color w:val="000000"/>
                      <w:sz w:val="16"/>
                      <w:szCs w:val="16"/>
                      <w:lang w:val="es-CO" w:eastAsia="es-CO"/>
                    </w:rPr>
                    <w:br/>
                    <w:t xml:space="preserve">Informe </w:t>
                  </w:r>
                  <w:r w:rsidRPr="00180299">
                    <w:rPr>
                      <w:rFonts w:ascii="Arial" w:eastAsia="Times New Roman" w:hAnsi="Arial" w:cs="Arial"/>
                      <w:color w:val="000000"/>
                      <w:sz w:val="16"/>
                      <w:szCs w:val="16"/>
                      <w:lang w:val="es-CO" w:eastAsia="es-CO"/>
                    </w:rPr>
                    <w:t>trimestral</w:t>
                  </w:r>
                  <w:r w:rsidRPr="0020084B">
                    <w:rPr>
                      <w:rFonts w:ascii="Arial" w:eastAsia="Times New Roman" w:hAnsi="Arial" w:cs="Arial"/>
                      <w:color w:val="000000"/>
                      <w:sz w:val="16"/>
                      <w:szCs w:val="16"/>
                      <w:lang w:val="es-CO" w:eastAsia="es-CO"/>
                    </w:rPr>
                    <w:t xml:space="preserve"> de gestión de las actuaciones administrativas</w:t>
                  </w:r>
                </w:p>
              </w:tc>
              <w:tc>
                <w:tcPr>
                  <w:tcW w:w="1448" w:type="dxa"/>
                  <w:shd w:val="clear" w:color="auto" w:fill="auto"/>
                  <w:vAlign w:val="center"/>
                  <w:hideMark/>
                </w:tcPr>
                <w:p w14:paraId="58BD2FF0"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Los controles establecidos no fueron efectivos en su totalidad ya que no se contaba con el personal suficiente e idóneo para llevar a cabo las actividades planteadas en el área de cobro coactivo.</w:t>
                  </w:r>
                </w:p>
              </w:tc>
              <w:tc>
                <w:tcPr>
                  <w:tcW w:w="4156" w:type="dxa"/>
                  <w:shd w:val="clear" w:color="auto" w:fill="auto"/>
                  <w:vAlign w:val="center"/>
                  <w:hideMark/>
                </w:tcPr>
                <w:p w14:paraId="6CE4E297" w14:textId="77777777" w:rsidR="00950D60" w:rsidRPr="0020084B" w:rsidRDefault="00950D60" w:rsidP="00950D60">
                  <w:pPr>
                    <w:spacing w:after="0" w:line="240" w:lineRule="auto"/>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Revisión y aprobación por parte de la Jefe de Oficina de las diferentes actuaciones realizadas.</w:t>
                  </w:r>
                  <w:r w:rsidRPr="0020084B">
                    <w:rPr>
                      <w:rFonts w:ascii="Arial" w:eastAsia="Times New Roman" w:hAnsi="Arial" w:cs="Arial"/>
                      <w:color w:val="000000"/>
                      <w:sz w:val="16"/>
                      <w:szCs w:val="16"/>
                      <w:lang w:val="es-CO" w:eastAsia="es-CO"/>
                    </w:rPr>
                    <w:br/>
                    <w:t>Se actualizaron permanentemente las Matriz de Control de estados de los sancionados y la Matriz de Recaudo, donde se incluyeron las actuaciones realizadas en el trimestre; se encuentran en carpeta compartida OAJ.</w:t>
                  </w:r>
                  <w:r w:rsidRPr="0020084B">
                    <w:rPr>
                      <w:rFonts w:ascii="Arial" w:eastAsia="Times New Roman" w:hAnsi="Arial" w:cs="Arial"/>
                      <w:color w:val="000000"/>
                      <w:sz w:val="16"/>
                      <w:szCs w:val="16"/>
                      <w:lang w:val="es-CO" w:eastAsia="es-CO"/>
                    </w:rPr>
                    <w:br/>
                    <w:t>Las llamadas telefónicas de gestión de cobro realizadas en el trimestre fueron registradas en cada uno de los expedientes, así como en los cuadros de reporte de actividades.</w:t>
                  </w:r>
                  <w:r w:rsidRPr="0020084B">
                    <w:rPr>
                      <w:rFonts w:ascii="Arial" w:eastAsia="Times New Roman" w:hAnsi="Arial" w:cs="Arial"/>
                      <w:color w:val="000000"/>
                      <w:sz w:val="16"/>
                      <w:szCs w:val="16"/>
                      <w:lang w:val="es-CO" w:eastAsia="es-CO"/>
                    </w:rPr>
                    <w:br/>
                    <w:t>La funcionaria encargada presentó a la Jefe de la Oficina los Cuadros de reporte de Actividades del Trimestre, así como el reporte consolidado, los cuales fueron enviados por correo electrónico y se encuentran virtualmente en el computador de la funcionaria Angie Bustos.</w:t>
                  </w:r>
                  <w:r w:rsidRPr="0020084B">
                    <w:rPr>
                      <w:rFonts w:ascii="Arial" w:eastAsia="Times New Roman" w:hAnsi="Arial" w:cs="Arial"/>
                      <w:color w:val="000000"/>
                      <w:sz w:val="16"/>
                      <w:szCs w:val="16"/>
                      <w:lang w:val="es-CO" w:eastAsia="es-CO"/>
                    </w:rPr>
                    <w:br/>
                    <w:t>En el Primer Trimestre de 2019, se gestionaron 58 expedientes de 98  expedientes a gestionar durante el periodo. En este periodo se abrió 1 expediente nuevo correspondiente a la señora Marcela Sanín Márquez, Del total de expedientes gestionados se realizaron un total de 286 actuaciones durante el periodo. Dentro de las actuaciones realizadas se tienen entre las más importantes: Elaboración y envió de 21 oficios, envió de 161 correos electrónicos, 14 liquidacion</w:t>
                  </w:r>
                  <w:r w:rsidRPr="0020084B">
                    <w:rPr>
                      <w:rFonts w:ascii="Arial" w:eastAsia="Times New Roman" w:hAnsi="Arial" w:cs="Arial"/>
                      <w:sz w:val="16"/>
                      <w:szCs w:val="16"/>
                      <w:lang w:val="es-CO" w:eastAsia="es-CO"/>
                    </w:rPr>
                    <w:t>es realizadas y 84 llamadas.</w:t>
                  </w:r>
                </w:p>
              </w:tc>
              <w:tc>
                <w:tcPr>
                  <w:tcW w:w="1234" w:type="dxa"/>
                  <w:shd w:val="clear" w:color="auto" w:fill="auto"/>
                  <w:noWrap/>
                  <w:vAlign w:val="center"/>
                  <w:hideMark/>
                </w:tcPr>
                <w:p w14:paraId="23D5B8AA" w14:textId="77777777" w:rsidR="00950D60" w:rsidRPr="0020084B" w:rsidRDefault="00950D60" w:rsidP="00950D60">
                  <w:pPr>
                    <w:spacing w:after="0" w:line="240" w:lineRule="auto"/>
                    <w:jc w:val="center"/>
                    <w:rPr>
                      <w:rFonts w:ascii="Arial" w:eastAsia="Times New Roman" w:hAnsi="Arial" w:cs="Arial"/>
                      <w:color w:val="000000"/>
                      <w:sz w:val="16"/>
                      <w:szCs w:val="16"/>
                      <w:lang w:val="es-CO" w:eastAsia="es-CO"/>
                    </w:rPr>
                  </w:pPr>
                  <w:r w:rsidRPr="0020084B">
                    <w:rPr>
                      <w:rFonts w:ascii="Arial" w:eastAsia="Times New Roman" w:hAnsi="Arial" w:cs="Arial"/>
                      <w:color w:val="000000"/>
                      <w:sz w:val="16"/>
                      <w:szCs w:val="16"/>
                      <w:lang w:val="es-CO" w:eastAsia="es-CO"/>
                    </w:rPr>
                    <w:t>x</w:t>
                  </w:r>
                </w:p>
              </w:tc>
            </w:tr>
          </w:tbl>
          <w:p w14:paraId="78440CA0" w14:textId="65A55DBE" w:rsidR="009809F3" w:rsidRDefault="009809F3" w:rsidP="00A0246F">
            <w:pPr>
              <w:pStyle w:val="Prrafodelista"/>
              <w:ind w:left="0"/>
              <w:jc w:val="both"/>
              <w:rPr>
                <w:rFonts w:ascii="Arial" w:hAnsi="Arial" w:cs="Arial"/>
              </w:rPr>
            </w:pPr>
          </w:p>
          <w:p w14:paraId="2CA675DC" w14:textId="45521E5C" w:rsidR="00D17B2D" w:rsidRDefault="00D17B2D" w:rsidP="00A0246F">
            <w:pPr>
              <w:jc w:val="both"/>
              <w:rPr>
                <w:rFonts w:ascii="Arial" w:hAnsi="Arial" w:cs="Arial"/>
              </w:rPr>
            </w:pPr>
            <w:r w:rsidRPr="009D31FF">
              <w:rPr>
                <w:rFonts w:ascii="Arial" w:hAnsi="Arial" w:cs="Arial"/>
                <w:b/>
              </w:rPr>
              <w:t xml:space="preserve">Riesgos materializados </w:t>
            </w:r>
            <w:r w:rsidRPr="009D31FF">
              <w:rPr>
                <w:rFonts w:ascii="Arial" w:hAnsi="Arial" w:cs="Arial"/>
              </w:rPr>
              <w:t>en</w:t>
            </w:r>
            <w:r w:rsidRPr="009D31FF">
              <w:rPr>
                <w:rFonts w:ascii="Arial" w:hAnsi="Arial" w:cs="Arial"/>
                <w:b/>
              </w:rPr>
              <w:t xml:space="preserve"> </w:t>
            </w:r>
            <w:r w:rsidRPr="009D31FF">
              <w:rPr>
                <w:rFonts w:ascii="Arial" w:hAnsi="Arial" w:cs="Arial"/>
              </w:rPr>
              <w:t xml:space="preserve">el proceso </w:t>
            </w:r>
            <w:r w:rsidRPr="009D31FF">
              <w:rPr>
                <w:rFonts w:ascii="Arial" w:hAnsi="Arial" w:cs="Arial"/>
                <w:b/>
              </w:rPr>
              <w:t>GESTIÓN JURÍDICA</w:t>
            </w:r>
            <w:r w:rsidR="00950D60">
              <w:rPr>
                <w:rFonts w:ascii="Arial" w:hAnsi="Arial" w:cs="Arial"/>
                <w:b/>
              </w:rPr>
              <w:t>,</w:t>
            </w:r>
            <w:r w:rsidRPr="009D31FF">
              <w:rPr>
                <w:rFonts w:ascii="Arial" w:hAnsi="Arial" w:cs="Arial"/>
              </w:rPr>
              <w:t xml:space="preserve"> presenta la materialización de </w:t>
            </w:r>
            <w:r w:rsidR="00950D60">
              <w:rPr>
                <w:rFonts w:ascii="Arial" w:hAnsi="Arial" w:cs="Arial"/>
              </w:rPr>
              <w:t>(2) dos</w:t>
            </w:r>
            <w:r w:rsidRPr="009D31FF">
              <w:rPr>
                <w:rFonts w:ascii="Arial" w:hAnsi="Arial" w:cs="Arial"/>
              </w:rPr>
              <w:t xml:space="preserve"> riesgos</w:t>
            </w:r>
            <w:r>
              <w:rPr>
                <w:rFonts w:ascii="Arial" w:hAnsi="Arial" w:cs="Arial"/>
              </w:rPr>
              <w:t>:</w:t>
            </w:r>
          </w:p>
          <w:p w14:paraId="090442A8" w14:textId="77777777" w:rsidR="00D17B2D" w:rsidRDefault="00D17B2D" w:rsidP="00A0246F">
            <w:pPr>
              <w:jc w:val="both"/>
              <w:rPr>
                <w:rFonts w:ascii="Arial" w:hAnsi="Arial" w:cs="Arial"/>
              </w:rPr>
            </w:pPr>
            <w:r>
              <w:rPr>
                <w:rFonts w:ascii="Arial" w:hAnsi="Arial" w:cs="Arial"/>
              </w:rPr>
              <w:t xml:space="preserve">a. </w:t>
            </w:r>
            <w:r w:rsidRPr="009D31FF">
              <w:rPr>
                <w:rFonts w:ascii="Arial" w:hAnsi="Arial" w:cs="Arial"/>
              </w:rPr>
              <w:t xml:space="preserve"> “Inefectividad de la acción coactiva respecto de las acreencias a favor de la SSF”. no se realizó la totalidad de la gestión en el área de cobro coactivo</w:t>
            </w:r>
            <w:r>
              <w:rPr>
                <w:rFonts w:ascii="Arial" w:hAnsi="Arial" w:cs="Arial"/>
              </w:rPr>
              <w:t>.</w:t>
            </w:r>
          </w:p>
          <w:p w14:paraId="037DD052" w14:textId="314EEDB9" w:rsidR="00D17B2D" w:rsidRPr="009D31FF" w:rsidRDefault="00D17B2D" w:rsidP="00A0246F">
            <w:pPr>
              <w:jc w:val="both"/>
              <w:rPr>
                <w:rFonts w:ascii="Arial" w:hAnsi="Arial" w:cs="Arial"/>
              </w:rPr>
            </w:pPr>
            <w:r>
              <w:rPr>
                <w:rFonts w:ascii="Arial" w:hAnsi="Arial" w:cs="Arial"/>
              </w:rPr>
              <w:t>b.  “Emisión de conceptos débiles y/</w:t>
            </w:r>
            <w:r w:rsidR="008B2792">
              <w:rPr>
                <w:rFonts w:ascii="Arial" w:hAnsi="Arial" w:cs="Arial"/>
              </w:rPr>
              <w:t>o erróneos</w:t>
            </w:r>
            <w:r>
              <w:rPr>
                <w:rFonts w:ascii="Arial" w:hAnsi="Arial" w:cs="Arial"/>
              </w:rPr>
              <w:t>”. No se emitió respuesta dentro de los términos señalados por la Ley.</w:t>
            </w:r>
          </w:p>
          <w:p w14:paraId="58CB96A5" w14:textId="01B3A7F9" w:rsidR="00D17B2D" w:rsidRPr="007E3D14" w:rsidRDefault="008B2792" w:rsidP="00A0246F">
            <w:pPr>
              <w:jc w:val="both"/>
              <w:rPr>
                <w:rFonts w:ascii="Arial" w:hAnsi="Arial" w:cs="Arial"/>
              </w:rPr>
            </w:pPr>
            <w:r>
              <w:rPr>
                <w:rFonts w:ascii="Arial" w:hAnsi="Arial" w:cs="Arial"/>
              </w:rPr>
              <w:t xml:space="preserve">La </w:t>
            </w:r>
            <w:r w:rsidR="00D17B2D" w:rsidRPr="007E3D14">
              <w:rPr>
                <w:rFonts w:ascii="Arial" w:hAnsi="Arial" w:cs="Arial"/>
              </w:rPr>
              <w:t xml:space="preserve">Oficina de Control de Interno realiza la verificación correspondiente a la materialización del riesgo y dentro de las actividades realizadas en el trimestre los funcionarios del área informan que no tenían personal suficiente para llevar a cabo esta actividad y no se </w:t>
            </w:r>
            <w:r w:rsidRPr="007E3D14">
              <w:rPr>
                <w:rFonts w:ascii="Arial" w:hAnsi="Arial" w:cs="Arial"/>
              </w:rPr>
              <w:t>realizó</w:t>
            </w:r>
            <w:r w:rsidR="00D17B2D" w:rsidRPr="007E3D14">
              <w:rPr>
                <w:rFonts w:ascii="Arial" w:hAnsi="Arial" w:cs="Arial"/>
              </w:rPr>
              <w:t xml:space="preserve"> el seguimiento a vencimiento de términos.</w:t>
            </w:r>
          </w:p>
          <w:p w14:paraId="5CFD3670" w14:textId="77777777" w:rsidR="00D17B2D" w:rsidRDefault="00D17B2D" w:rsidP="00A0246F">
            <w:pPr>
              <w:jc w:val="both"/>
              <w:rPr>
                <w:rFonts w:ascii="Arial" w:hAnsi="Arial" w:cs="Arial"/>
              </w:rPr>
            </w:pPr>
            <w:r w:rsidRPr="007E3D14">
              <w:rPr>
                <w:rFonts w:ascii="Arial" w:hAnsi="Arial" w:cs="Arial"/>
              </w:rPr>
              <w:t xml:space="preserve">Evidenciando los </w:t>
            </w:r>
            <w:r w:rsidR="00EE3DE9" w:rsidRPr="00EE3DE9">
              <w:rPr>
                <w:rFonts w:ascii="Arial" w:hAnsi="Arial" w:cs="Arial"/>
                <w:b/>
              </w:rPr>
              <w:t>(2)</w:t>
            </w:r>
            <w:r w:rsidR="00EE3DE9">
              <w:rPr>
                <w:rFonts w:ascii="Arial" w:hAnsi="Arial" w:cs="Arial"/>
              </w:rPr>
              <w:t xml:space="preserve"> </w:t>
            </w:r>
            <w:r w:rsidRPr="007E3D14">
              <w:rPr>
                <w:rFonts w:ascii="Arial" w:hAnsi="Arial" w:cs="Arial"/>
                <w:b/>
              </w:rPr>
              <w:t>dos riesgos materializados</w:t>
            </w:r>
            <w:r w:rsidRPr="007E3D14">
              <w:rPr>
                <w:rFonts w:ascii="Arial" w:hAnsi="Arial" w:cs="Arial"/>
              </w:rPr>
              <w:t xml:space="preserve"> en el primer trimestre, cada proceso deberá elaborar en el aplicativo </w:t>
            </w:r>
            <w:proofErr w:type="spellStart"/>
            <w:r w:rsidRPr="007E3D14">
              <w:rPr>
                <w:rFonts w:ascii="Arial" w:hAnsi="Arial" w:cs="Arial"/>
              </w:rPr>
              <w:t>Isolución</w:t>
            </w:r>
            <w:proofErr w:type="spellEnd"/>
            <w:r w:rsidRPr="007E3D14">
              <w:rPr>
                <w:rFonts w:ascii="Arial" w:hAnsi="Arial" w:cs="Arial"/>
              </w:rPr>
              <w:t xml:space="preserve"> el respectivo Plan de Mejoramiento, efectuando el control del Sistema Integrado de Gestión de la Entidad tomando acciones correctivas, que permitan un mejoramiento continuo en la gestión y el logro de los objetivos institucionales en términos de eficiencia, eficacia y efectividad.  </w:t>
            </w:r>
          </w:p>
          <w:p w14:paraId="67BE9F1B" w14:textId="77777777" w:rsidR="00FE60C2" w:rsidRDefault="00FE60C2" w:rsidP="00A0246F">
            <w:pPr>
              <w:jc w:val="both"/>
              <w:rPr>
                <w:rFonts w:ascii="Arial" w:eastAsia="Times New Roman" w:hAnsi="Arial" w:cs="Arial"/>
                <w:highlight w:val="yellow"/>
                <w:lang w:eastAsia="es-ES"/>
              </w:rPr>
            </w:pPr>
          </w:p>
          <w:p w14:paraId="155F2C15" w14:textId="53C5D664" w:rsidR="00FE60C2" w:rsidRPr="009D31FF" w:rsidRDefault="00FE60C2" w:rsidP="00A0246F">
            <w:pPr>
              <w:jc w:val="both"/>
              <w:rPr>
                <w:rFonts w:ascii="Arial" w:eastAsia="Times New Roman" w:hAnsi="Arial" w:cs="Arial"/>
                <w:highlight w:val="yellow"/>
                <w:lang w:eastAsia="es-ES"/>
              </w:rPr>
            </w:pPr>
          </w:p>
        </w:tc>
      </w:tr>
      <w:tr w:rsidR="00D17B2D" w14:paraId="63BCC63E" w14:textId="77777777" w:rsidTr="008B2792">
        <w:trPr>
          <w:trHeight w:val="82"/>
        </w:trPr>
        <w:tc>
          <w:tcPr>
            <w:tcW w:w="9678" w:type="dxa"/>
            <w:gridSpan w:val="2"/>
            <w:tcBorders>
              <w:top w:val="single" w:sz="4" w:space="0" w:color="auto"/>
              <w:bottom w:val="single" w:sz="4" w:space="0" w:color="auto"/>
            </w:tcBorders>
          </w:tcPr>
          <w:p w14:paraId="2C5D5A88" w14:textId="187FEE50" w:rsidR="00D17B2D" w:rsidRDefault="00D17B2D" w:rsidP="00A0246F">
            <w:pPr>
              <w:pStyle w:val="Prrafodelista"/>
              <w:ind w:left="0"/>
              <w:rPr>
                <w:rFonts w:ascii="Arial" w:hAnsi="Arial" w:cs="Arial"/>
                <w:b/>
                <w:sz w:val="24"/>
                <w:szCs w:val="24"/>
              </w:rPr>
            </w:pPr>
          </w:p>
          <w:p w14:paraId="5A9DE27D" w14:textId="77777777" w:rsidR="00A008CF" w:rsidRDefault="00A008CF" w:rsidP="00A0246F">
            <w:pPr>
              <w:pStyle w:val="Prrafodelista"/>
              <w:ind w:left="0"/>
              <w:rPr>
                <w:rFonts w:ascii="Arial" w:hAnsi="Arial" w:cs="Arial"/>
                <w:b/>
                <w:sz w:val="24"/>
                <w:szCs w:val="24"/>
              </w:rPr>
            </w:pPr>
          </w:p>
          <w:p w14:paraId="1466CBAE" w14:textId="77777777" w:rsidR="00D17B2D" w:rsidRDefault="00D17B2D" w:rsidP="00A0246F">
            <w:pPr>
              <w:pStyle w:val="Prrafodelista"/>
              <w:ind w:left="0"/>
              <w:rPr>
                <w:rFonts w:ascii="Arial" w:hAnsi="Arial" w:cs="Arial"/>
                <w:b/>
                <w:sz w:val="24"/>
                <w:szCs w:val="24"/>
              </w:rPr>
            </w:pPr>
            <w:r>
              <w:rPr>
                <w:rFonts w:ascii="Arial" w:hAnsi="Arial" w:cs="Arial"/>
                <w:b/>
                <w:sz w:val="24"/>
                <w:szCs w:val="24"/>
              </w:rPr>
              <w:t>6. SEGUIMIENTO INFORME PERÍODO ANTERIOR</w:t>
            </w:r>
          </w:p>
          <w:p w14:paraId="66BC30B4" w14:textId="77777777" w:rsidR="00200E34" w:rsidRDefault="00D17B2D" w:rsidP="00A0246F">
            <w:pPr>
              <w:jc w:val="both"/>
              <w:rPr>
                <w:rFonts w:ascii="Arial" w:hAnsi="Arial" w:cs="Arial"/>
              </w:rPr>
            </w:pPr>
            <w:r>
              <w:rPr>
                <w:rFonts w:ascii="Arial" w:hAnsi="Arial" w:cs="Arial"/>
              </w:rPr>
              <w:t xml:space="preserve">En el IV trimestre en los siguientes procesos: </w:t>
            </w:r>
          </w:p>
          <w:p w14:paraId="49350E96" w14:textId="77777777" w:rsidR="00200E34" w:rsidRDefault="00D17B2D" w:rsidP="00200E34">
            <w:pPr>
              <w:pStyle w:val="Prrafodelista"/>
              <w:numPr>
                <w:ilvl w:val="0"/>
                <w:numId w:val="12"/>
              </w:numPr>
              <w:jc w:val="both"/>
              <w:rPr>
                <w:rFonts w:ascii="Arial" w:hAnsi="Arial" w:cs="Arial"/>
              </w:rPr>
            </w:pPr>
            <w:r w:rsidRPr="00200E34">
              <w:rPr>
                <w:rFonts w:ascii="Arial" w:hAnsi="Arial" w:cs="Arial"/>
                <w:b/>
              </w:rPr>
              <w:t>ESTUDIOS ESPECIALES Y EVALUACIÓN DE PROYECTOS</w:t>
            </w:r>
            <w:r w:rsidRPr="00200E34">
              <w:rPr>
                <w:rFonts w:ascii="Arial" w:hAnsi="Arial" w:cs="Arial"/>
              </w:rPr>
              <w:t xml:space="preserve"> en </w:t>
            </w:r>
            <w:r w:rsidR="001E5040" w:rsidRPr="00200E34">
              <w:rPr>
                <w:rFonts w:ascii="Arial" w:hAnsi="Arial" w:cs="Arial"/>
              </w:rPr>
              <w:t>el riesgo</w:t>
            </w:r>
            <w:r w:rsidRPr="00200E34">
              <w:rPr>
                <w:rFonts w:ascii="Arial" w:hAnsi="Arial" w:cs="Arial"/>
              </w:rPr>
              <w:t xml:space="preserve"> “Inoportunidad en reportes de información estadística”, debido a que no se reportó información estadística en el mes de noviembre de 2018 por parte de las tres CCF </w:t>
            </w:r>
          </w:p>
          <w:p w14:paraId="46A0957F" w14:textId="57EEEFC6" w:rsidR="00D17B2D" w:rsidRPr="00200E34" w:rsidRDefault="00D17B2D" w:rsidP="00200E34">
            <w:pPr>
              <w:pStyle w:val="Prrafodelista"/>
              <w:numPr>
                <w:ilvl w:val="0"/>
                <w:numId w:val="12"/>
              </w:numPr>
              <w:jc w:val="both"/>
              <w:rPr>
                <w:rFonts w:ascii="Arial" w:hAnsi="Arial" w:cs="Arial"/>
              </w:rPr>
            </w:pPr>
            <w:r w:rsidRPr="00200E34">
              <w:rPr>
                <w:rFonts w:ascii="Arial" w:hAnsi="Arial" w:cs="Arial"/>
                <w:b/>
              </w:rPr>
              <w:t>GESTIÓN JURÍDICA</w:t>
            </w:r>
            <w:r w:rsidRPr="00200E34">
              <w:rPr>
                <w:rFonts w:ascii="Arial" w:hAnsi="Arial" w:cs="Arial"/>
              </w:rPr>
              <w:t>, presenta la materialización del riesgo “Inefectividad de la acción coactiva respecto de las acreencias a favor de la SSF” no se realizó la totalidad de la gestión en el área de cobro coactivo por consiguiente no cumplieron con la efectividad de la acción del cobro coactivo, cuyos controles no fueron eficientes.</w:t>
            </w:r>
          </w:p>
          <w:p w14:paraId="19940753" w14:textId="1E22B966" w:rsidR="00D17B2D" w:rsidRDefault="00D17B2D" w:rsidP="00A0246F">
            <w:pPr>
              <w:jc w:val="both"/>
              <w:rPr>
                <w:rFonts w:ascii="Arial" w:hAnsi="Arial" w:cs="Arial"/>
              </w:rPr>
            </w:pPr>
            <w:r w:rsidRPr="00822C56">
              <w:rPr>
                <w:rFonts w:ascii="Arial" w:hAnsi="Arial" w:cs="Arial"/>
              </w:rPr>
              <w:t xml:space="preserve">La oficina de control Interno </w:t>
            </w:r>
            <w:r w:rsidR="003739BB">
              <w:rPr>
                <w:rFonts w:ascii="Arial" w:hAnsi="Arial" w:cs="Arial"/>
              </w:rPr>
              <w:t>después de</w:t>
            </w:r>
            <w:r w:rsidR="00F278CC">
              <w:rPr>
                <w:rFonts w:ascii="Arial" w:hAnsi="Arial" w:cs="Arial"/>
              </w:rPr>
              <w:t xml:space="preserve">l envió del correo electrónico en fecha 05 de febrero de 2019 a la líder </w:t>
            </w:r>
            <w:r w:rsidR="0007254A">
              <w:rPr>
                <w:rFonts w:ascii="Arial" w:hAnsi="Arial" w:cs="Arial"/>
              </w:rPr>
              <w:t>del proceso</w:t>
            </w:r>
            <w:r w:rsidR="00F278CC">
              <w:rPr>
                <w:rFonts w:ascii="Arial" w:hAnsi="Arial" w:cs="Arial"/>
              </w:rPr>
              <w:t xml:space="preserve"> </w:t>
            </w:r>
            <w:r w:rsidR="003739BB">
              <w:rPr>
                <w:rFonts w:ascii="Arial" w:hAnsi="Arial" w:cs="Arial"/>
              </w:rPr>
              <w:t xml:space="preserve"> </w:t>
            </w:r>
            <w:r w:rsidR="00F278CC">
              <w:rPr>
                <w:rFonts w:ascii="Arial" w:hAnsi="Arial" w:cs="Arial"/>
              </w:rPr>
              <w:t xml:space="preserve"> informando que los riesgos se encontraban subidos en el aplicativo </w:t>
            </w:r>
            <w:proofErr w:type="spellStart"/>
            <w:r w:rsidR="00F278CC">
              <w:rPr>
                <w:rFonts w:ascii="Arial" w:hAnsi="Arial" w:cs="Arial"/>
              </w:rPr>
              <w:t>Isolucion</w:t>
            </w:r>
            <w:proofErr w:type="spellEnd"/>
            <w:r w:rsidR="00F278CC">
              <w:rPr>
                <w:rFonts w:ascii="Arial" w:hAnsi="Arial" w:cs="Arial"/>
              </w:rPr>
              <w:t>; realiza la verificación correspondiente donde se evidenció que no se ha realizado plan de mejoramiento</w:t>
            </w:r>
            <w:r w:rsidR="00CE306A">
              <w:rPr>
                <w:rFonts w:ascii="Arial" w:hAnsi="Arial" w:cs="Arial"/>
              </w:rPr>
              <w:t>;</w:t>
            </w:r>
            <w:r w:rsidR="00F278CC">
              <w:rPr>
                <w:rFonts w:ascii="Arial" w:hAnsi="Arial" w:cs="Arial"/>
              </w:rPr>
              <w:t xml:space="preserve"> por </w:t>
            </w:r>
            <w:proofErr w:type="gramStart"/>
            <w:r w:rsidR="00F278CC">
              <w:rPr>
                <w:rFonts w:ascii="Arial" w:hAnsi="Arial" w:cs="Arial"/>
              </w:rPr>
              <w:t>consiguiente</w:t>
            </w:r>
            <w:proofErr w:type="gramEnd"/>
            <w:r w:rsidR="00F278CC">
              <w:rPr>
                <w:rFonts w:ascii="Arial" w:hAnsi="Arial" w:cs="Arial"/>
              </w:rPr>
              <w:t xml:space="preserve"> </w:t>
            </w:r>
            <w:r w:rsidR="0032558B">
              <w:rPr>
                <w:rFonts w:ascii="Arial" w:hAnsi="Arial" w:cs="Arial"/>
              </w:rPr>
              <w:t>esta</w:t>
            </w:r>
            <w:r w:rsidR="00F278CC">
              <w:rPr>
                <w:rFonts w:ascii="Arial" w:hAnsi="Arial" w:cs="Arial"/>
              </w:rPr>
              <w:t xml:space="preserve"> oficina </w:t>
            </w:r>
            <w:r w:rsidRPr="00822C56">
              <w:rPr>
                <w:rFonts w:ascii="Arial" w:hAnsi="Arial" w:cs="Arial"/>
              </w:rPr>
              <w:t>solicita a la mayor brevedad realizar los planes de mejoramiento para la materialización de los riesgos del IV trimestre de la vigencia 2018.</w:t>
            </w:r>
          </w:p>
          <w:p w14:paraId="5EE9BAFD" w14:textId="341471DB" w:rsidR="00D17B2D" w:rsidRPr="00822C56" w:rsidRDefault="00D17B2D" w:rsidP="00A0246F">
            <w:pPr>
              <w:jc w:val="both"/>
              <w:rPr>
                <w:rFonts w:ascii="Arial" w:hAnsi="Arial" w:cs="Arial"/>
              </w:rPr>
            </w:pPr>
            <w:r w:rsidRPr="00822C56">
              <w:rPr>
                <w:rFonts w:ascii="Arial" w:hAnsi="Arial" w:cs="Arial"/>
              </w:rPr>
              <w:t>A la fecha</w:t>
            </w:r>
            <w:r w:rsidR="00DA0007">
              <w:rPr>
                <w:rFonts w:ascii="Arial" w:hAnsi="Arial" w:cs="Arial"/>
              </w:rPr>
              <w:t xml:space="preserve"> del presente informe </w:t>
            </w:r>
            <w:r w:rsidR="00DA0007" w:rsidRPr="00DA0007">
              <w:rPr>
                <w:rFonts w:ascii="Arial" w:hAnsi="Arial" w:cs="Arial"/>
                <w:b/>
              </w:rPr>
              <w:t>SE ENCUENTRAN ABIERTOS</w:t>
            </w:r>
            <w:r w:rsidR="00DA0007" w:rsidRPr="00822C56">
              <w:rPr>
                <w:rFonts w:ascii="Arial" w:hAnsi="Arial" w:cs="Arial"/>
              </w:rPr>
              <w:t xml:space="preserve"> </w:t>
            </w:r>
            <w:r w:rsidRPr="00822C56">
              <w:rPr>
                <w:rFonts w:ascii="Arial" w:hAnsi="Arial" w:cs="Arial"/>
              </w:rPr>
              <w:t xml:space="preserve">los planes de mejoramiento de los riesgos materializados. </w:t>
            </w:r>
          </w:p>
          <w:p w14:paraId="47B772D2" w14:textId="77777777" w:rsidR="00D17B2D" w:rsidRDefault="00D17B2D" w:rsidP="00A0246F">
            <w:pPr>
              <w:jc w:val="both"/>
              <w:rPr>
                <w:rFonts w:ascii="Arial" w:hAnsi="Arial" w:cs="Arial"/>
                <w:b/>
                <w:sz w:val="24"/>
                <w:szCs w:val="24"/>
              </w:rPr>
            </w:pPr>
          </w:p>
        </w:tc>
      </w:tr>
      <w:tr w:rsidR="00D17B2D" w14:paraId="6D569E7D" w14:textId="77777777" w:rsidTr="00347DAA">
        <w:trPr>
          <w:trHeight w:val="1292"/>
        </w:trPr>
        <w:tc>
          <w:tcPr>
            <w:tcW w:w="9678" w:type="dxa"/>
            <w:gridSpan w:val="2"/>
            <w:tcBorders>
              <w:bottom w:val="single" w:sz="4" w:space="0" w:color="auto"/>
            </w:tcBorders>
          </w:tcPr>
          <w:p w14:paraId="4B3560A7" w14:textId="3F86A00C" w:rsidR="008B2792" w:rsidRDefault="008B2792" w:rsidP="00A0246F">
            <w:pPr>
              <w:pStyle w:val="Prrafodelista"/>
              <w:ind w:left="0"/>
              <w:rPr>
                <w:rFonts w:ascii="Arial" w:hAnsi="Arial" w:cs="Arial"/>
                <w:b/>
                <w:sz w:val="24"/>
                <w:szCs w:val="24"/>
              </w:rPr>
            </w:pPr>
          </w:p>
          <w:p w14:paraId="2AB6BCC2" w14:textId="77777777" w:rsidR="004D59E8" w:rsidRDefault="004D59E8" w:rsidP="00A0246F">
            <w:pPr>
              <w:pStyle w:val="Prrafodelista"/>
              <w:ind w:left="0"/>
              <w:rPr>
                <w:rFonts w:ascii="Arial" w:hAnsi="Arial" w:cs="Arial"/>
                <w:b/>
                <w:sz w:val="24"/>
                <w:szCs w:val="24"/>
              </w:rPr>
            </w:pPr>
          </w:p>
          <w:p w14:paraId="1447FB9F" w14:textId="7A027452" w:rsidR="00D17B2D" w:rsidRPr="00581B90"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288CBF75" w14:textId="77777777" w:rsidR="00D17B2D" w:rsidRDefault="00D17B2D" w:rsidP="00A0246F">
            <w:pPr>
              <w:jc w:val="both"/>
              <w:rPr>
                <w:rFonts w:ascii="Arial" w:hAnsi="Arial" w:cs="Arial"/>
              </w:rPr>
            </w:pPr>
            <w:r>
              <w:rPr>
                <w:rFonts w:ascii="Arial" w:hAnsi="Arial" w:cs="Arial"/>
              </w:rPr>
              <w:t xml:space="preserve">En el seguimiento realizado en el I trimestre de 2019,  se evidencian </w:t>
            </w:r>
            <w:r w:rsidRPr="00E313B6">
              <w:rPr>
                <w:rFonts w:ascii="Arial" w:hAnsi="Arial" w:cs="Arial"/>
                <w:b/>
              </w:rPr>
              <w:t>materialización de</w:t>
            </w:r>
            <w:r>
              <w:rPr>
                <w:rFonts w:ascii="Arial" w:hAnsi="Arial" w:cs="Arial"/>
                <w:b/>
              </w:rPr>
              <w:t xml:space="preserve"> dos (2)</w:t>
            </w:r>
            <w:r w:rsidRPr="00E313B6">
              <w:rPr>
                <w:rFonts w:ascii="Arial" w:hAnsi="Arial" w:cs="Arial"/>
                <w:b/>
              </w:rPr>
              <w:t xml:space="preserve"> riesgo</w:t>
            </w:r>
            <w:r>
              <w:rPr>
                <w:rFonts w:ascii="Arial" w:hAnsi="Arial" w:cs="Arial"/>
                <w:b/>
              </w:rPr>
              <w:t>s</w:t>
            </w:r>
            <w:r>
              <w:rPr>
                <w:rFonts w:ascii="Arial" w:hAnsi="Arial" w:cs="Arial"/>
              </w:rPr>
              <w:t xml:space="preserve"> en el proceso  </w:t>
            </w:r>
            <w:r>
              <w:rPr>
                <w:rFonts w:ascii="Arial" w:hAnsi="Arial" w:cs="Arial"/>
                <w:b/>
              </w:rPr>
              <w:t>GESTIÓN JURÍDICA</w:t>
            </w:r>
            <w:r w:rsidRPr="00385CFE">
              <w:rPr>
                <w:rFonts w:ascii="Arial" w:hAnsi="Arial" w:cs="Arial"/>
              </w:rPr>
              <w:t xml:space="preserve">, presenta la materialización </w:t>
            </w:r>
            <w:r>
              <w:rPr>
                <w:rFonts w:ascii="Arial" w:hAnsi="Arial" w:cs="Arial"/>
              </w:rPr>
              <w:t>de</w:t>
            </w:r>
            <w:r w:rsidRPr="00385CFE">
              <w:rPr>
                <w:rFonts w:ascii="Arial" w:hAnsi="Arial" w:cs="Arial"/>
              </w:rPr>
              <w:t>l riesgo “</w:t>
            </w:r>
            <w:r>
              <w:rPr>
                <w:rFonts w:ascii="Arial" w:hAnsi="Arial" w:cs="Arial"/>
              </w:rPr>
              <w:t xml:space="preserve">Inefectividad de la acción coactiva respecto de las acreencias a favor de la SSF” </w:t>
            </w:r>
            <w:r w:rsidRPr="00385CFE">
              <w:rPr>
                <w:rFonts w:ascii="Arial" w:hAnsi="Arial" w:cs="Arial"/>
              </w:rPr>
              <w:t xml:space="preserve">no </w:t>
            </w:r>
            <w:r>
              <w:rPr>
                <w:rFonts w:ascii="Arial" w:hAnsi="Arial" w:cs="Arial"/>
              </w:rPr>
              <w:t>se realizó la totalidad de la gestión en el área de cobro coactivo  por consiguiente no cumplieron con la efectividad de la acción del cobro coactivo, cuyos controles no fueron eficientes  y “Emisión de conceptos débiles y/o  erróneos”. No se emitieron respuestas dentro de los términos señalados por la Ley.</w:t>
            </w:r>
          </w:p>
          <w:p w14:paraId="773C6784" w14:textId="635C1EC6" w:rsidR="004D59E8" w:rsidRDefault="004D59E8" w:rsidP="00A0246F">
            <w:pPr>
              <w:pStyle w:val="Prrafodelista"/>
              <w:ind w:left="0"/>
              <w:rPr>
                <w:rFonts w:ascii="Arial" w:hAnsi="Arial" w:cs="Arial"/>
              </w:rPr>
            </w:pPr>
          </w:p>
          <w:p w14:paraId="25EF1BE3" w14:textId="3862E098" w:rsidR="00D17B2D" w:rsidRPr="00FE3DE7" w:rsidRDefault="00D17B2D" w:rsidP="00A0246F">
            <w:pPr>
              <w:pStyle w:val="Prrafodelista"/>
              <w:ind w:left="0"/>
              <w:rPr>
                <w:rFonts w:ascii="Arial" w:hAnsi="Arial" w:cs="Arial"/>
                <w:b/>
              </w:rPr>
            </w:pPr>
            <w:r w:rsidRPr="00FE3DE7">
              <w:rPr>
                <w:rFonts w:ascii="Arial" w:hAnsi="Arial" w:cs="Arial"/>
                <w:b/>
              </w:rPr>
              <w:t>8</w:t>
            </w:r>
            <w:r w:rsidRPr="00FE3DE7">
              <w:rPr>
                <w:rFonts w:ascii="Arial" w:hAnsi="Arial" w:cs="Arial"/>
                <w:b/>
                <w:sz w:val="24"/>
                <w:szCs w:val="24"/>
              </w:rPr>
              <w:t xml:space="preserve">. </w:t>
            </w:r>
            <w:r>
              <w:rPr>
                <w:rFonts w:ascii="Arial" w:hAnsi="Arial" w:cs="Arial"/>
                <w:b/>
                <w:sz w:val="24"/>
                <w:szCs w:val="24"/>
              </w:rPr>
              <w:t>OBSERVACIONES Y/O</w:t>
            </w:r>
            <w:r w:rsidRPr="00FE3DE7">
              <w:rPr>
                <w:rFonts w:ascii="Arial" w:hAnsi="Arial" w:cs="Arial"/>
                <w:b/>
                <w:sz w:val="24"/>
                <w:szCs w:val="24"/>
              </w:rPr>
              <w:t xml:space="preserve"> RECOMENDACIONES</w:t>
            </w:r>
            <w:r>
              <w:rPr>
                <w:rFonts w:ascii="Arial" w:hAnsi="Arial" w:cs="Arial"/>
                <w:b/>
                <w:sz w:val="24"/>
                <w:szCs w:val="24"/>
              </w:rPr>
              <w:t xml:space="preserve"> </w:t>
            </w:r>
          </w:p>
          <w:p w14:paraId="610D9CF8" w14:textId="77777777" w:rsidR="00D17B2D" w:rsidRPr="00C54B05" w:rsidRDefault="00D17B2D" w:rsidP="00A0246F">
            <w:pPr>
              <w:pStyle w:val="Prrafodelista"/>
              <w:ind w:left="0"/>
              <w:rPr>
                <w:rFonts w:ascii="Arial" w:hAnsi="Arial" w:cs="Arial"/>
              </w:rPr>
            </w:pPr>
          </w:p>
          <w:p w14:paraId="5CDED73D" w14:textId="11930773" w:rsidR="00CC5689" w:rsidRPr="00F42368" w:rsidRDefault="00CC5689" w:rsidP="00CC5689">
            <w:pPr>
              <w:pStyle w:val="Prrafodelista"/>
              <w:numPr>
                <w:ilvl w:val="0"/>
                <w:numId w:val="9"/>
              </w:numPr>
              <w:spacing w:after="0" w:line="240" w:lineRule="auto"/>
              <w:jc w:val="both"/>
              <w:rPr>
                <w:rFonts w:ascii="Arial" w:hAnsi="Arial" w:cs="Arial"/>
              </w:rPr>
            </w:pPr>
            <w:r w:rsidRPr="0072735D">
              <w:rPr>
                <w:rFonts w:ascii="Arial" w:hAnsi="Arial" w:cs="Arial"/>
              </w:rPr>
              <w:t>Se recomienda a la mayor brevedad realizar los planes de mejoramiento para la materialización de los riesgos del IV trimestre de la vigencia 2018</w:t>
            </w:r>
            <w:r w:rsidRPr="0072735D">
              <w:rPr>
                <w:rFonts w:ascii="Arial" w:hAnsi="Arial" w:cs="Arial"/>
                <w:b/>
              </w:rPr>
              <w:t>.</w:t>
            </w:r>
            <w:r>
              <w:rPr>
                <w:rFonts w:ascii="Arial" w:hAnsi="Arial" w:cs="Arial"/>
                <w:b/>
              </w:rPr>
              <w:t xml:space="preserve"> </w:t>
            </w:r>
            <w:r w:rsidRPr="0072735D">
              <w:rPr>
                <w:rFonts w:ascii="Arial" w:hAnsi="Arial" w:cs="Arial"/>
                <w:b/>
              </w:rPr>
              <w:t>(PROCESOS GESTIÓN JURÍDICA Y ESTUDIOS ESPECIALES Y EVALUACIÓN DE PROYECTOS</w:t>
            </w:r>
            <w:r>
              <w:rPr>
                <w:rFonts w:ascii="Arial" w:hAnsi="Arial" w:cs="Arial"/>
                <w:b/>
              </w:rPr>
              <w:t>).</w:t>
            </w:r>
          </w:p>
          <w:p w14:paraId="509193A7" w14:textId="77777777" w:rsidR="00F42368" w:rsidRPr="00CC5689" w:rsidRDefault="00F42368" w:rsidP="00F42368">
            <w:pPr>
              <w:pStyle w:val="Prrafodelista"/>
              <w:spacing w:after="0" w:line="240" w:lineRule="auto"/>
              <w:jc w:val="both"/>
              <w:rPr>
                <w:rFonts w:ascii="Arial" w:hAnsi="Arial" w:cs="Arial"/>
              </w:rPr>
            </w:pPr>
          </w:p>
          <w:p w14:paraId="5C12BFF1" w14:textId="77777777" w:rsidR="00CC5689" w:rsidRPr="00B81982" w:rsidRDefault="00CC5689" w:rsidP="00CC5689">
            <w:pPr>
              <w:pStyle w:val="Prrafodelista"/>
              <w:spacing w:after="0" w:line="240" w:lineRule="auto"/>
              <w:jc w:val="both"/>
              <w:rPr>
                <w:rFonts w:ascii="Arial" w:hAnsi="Arial" w:cs="Arial"/>
              </w:rPr>
            </w:pPr>
          </w:p>
          <w:p w14:paraId="2FD015BE" w14:textId="513ED7EA" w:rsidR="00CC5689" w:rsidRDefault="00CC5689" w:rsidP="00CC5689">
            <w:pPr>
              <w:pStyle w:val="Prrafodelista"/>
              <w:numPr>
                <w:ilvl w:val="0"/>
                <w:numId w:val="9"/>
              </w:numPr>
              <w:jc w:val="both"/>
              <w:rPr>
                <w:rFonts w:ascii="Arial" w:hAnsi="Arial" w:cs="Arial"/>
              </w:rPr>
            </w:pPr>
            <w:r w:rsidRPr="007D664C">
              <w:rPr>
                <w:rFonts w:ascii="Arial" w:hAnsi="Arial" w:cs="Arial"/>
              </w:rPr>
              <w:t xml:space="preserve">Para los riesgos de gestión materializados </w:t>
            </w:r>
            <w:r w:rsidR="00E54952">
              <w:rPr>
                <w:rFonts w:ascii="Arial" w:hAnsi="Arial" w:cs="Arial"/>
              </w:rPr>
              <w:t xml:space="preserve">en el I trimestre de la vigencia 2019, </w:t>
            </w:r>
            <w:r w:rsidRPr="007D664C">
              <w:rPr>
                <w:rFonts w:ascii="Arial" w:hAnsi="Arial" w:cs="Arial"/>
              </w:rPr>
              <w:t xml:space="preserve">en </w:t>
            </w:r>
            <w:r>
              <w:rPr>
                <w:rFonts w:ascii="Arial" w:hAnsi="Arial" w:cs="Arial"/>
              </w:rPr>
              <w:t xml:space="preserve">los dos (2) </w:t>
            </w:r>
            <w:r w:rsidRPr="007D664C">
              <w:rPr>
                <w:rFonts w:ascii="Arial" w:hAnsi="Arial" w:cs="Arial"/>
              </w:rPr>
              <w:t>los proce</w:t>
            </w:r>
            <w:r w:rsidR="004F6500">
              <w:rPr>
                <w:rFonts w:ascii="Arial" w:hAnsi="Arial" w:cs="Arial"/>
              </w:rPr>
              <w:t>dimientos</w:t>
            </w:r>
            <w:bookmarkStart w:id="3" w:name="_GoBack"/>
            <w:bookmarkEnd w:id="3"/>
            <w:r>
              <w:rPr>
                <w:rFonts w:ascii="Arial" w:hAnsi="Arial" w:cs="Arial"/>
              </w:rPr>
              <w:t xml:space="preserve"> de </w:t>
            </w:r>
            <w:r w:rsidRPr="007D664C">
              <w:rPr>
                <w:rFonts w:ascii="Arial" w:hAnsi="Arial" w:cs="Arial"/>
                <w:b/>
              </w:rPr>
              <w:t>GESTIÓN JURÍDICA</w:t>
            </w:r>
            <w:r w:rsidRPr="00151877">
              <w:rPr>
                <w:rFonts w:ascii="Arial" w:hAnsi="Arial" w:cs="Arial"/>
                <w:b/>
                <w:i/>
              </w:rPr>
              <w:t xml:space="preserve">, </w:t>
            </w:r>
            <w:r w:rsidRPr="00151877">
              <w:rPr>
                <w:rFonts w:ascii="Arial" w:hAnsi="Arial" w:cs="Arial"/>
              </w:rPr>
              <w:t>se</w:t>
            </w:r>
            <w:r>
              <w:rPr>
                <w:rFonts w:ascii="Arial" w:hAnsi="Arial" w:cs="Arial"/>
              </w:rPr>
              <w:t xml:space="preserve"> </w:t>
            </w:r>
            <w:r>
              <w:rPr>
                <w:rFonts w:ascii="Arial" w:hAnsi="Arial" w:cs="Arial"/>
                <w:color w:val="000000"/>
                <w:lang w:eastAsia="es-ES"/>
              </w:rPr>
              <w:t>deberá</w:t>
            </w:r>
            <w:r w:rsidRPr="00151877">
              <w:rPr>
                <w:rFonts w:ascii="Arial" w:hAnsi="Arial" w:cs="Arial"/>
                <w:color w:val="000000"/>
                <w:lang w:eastAsia="es-ES"/>
              </w:rPr>
              <w:t xml:space="preserve"> elaborar</w:t>
            </w:r>
            <w:r w:rsidRPr="00151877">
              <w:rPr>
                <w:rFonts w:ascii="Arial" w:hAnsi="Arial" w:cs="Arial"/>
              </w:rPr>
              <w:t xml:space="preserve"> </w:t>
            </w:r>
            <w:r w:rsidRPr="00151877">
              <w:rPr>
                <w:rFonts w:ascii="Arial" w:hAnsi="Arial" w:cs="Arial"/>
                <w:color w:val="000000"/>
              </w:rPr>
              <w:t xml:space="preserve">en el aplicativo </w:t>
            </w:r>
            <w:proofErr w:type="spellStart"/>
            <w:r>
              <w:rPr>
                <w:rFonts w:ascii="Arial" w:hAnsi="Arial" w:cs="Arial"/>
                <w:color w:val="000000"/>
              </w:rPr>
              <w:t>I</w:t>
            </w:r>
            <w:r w:rsidRPr="00151877">
              <w:rPr>
                <w:rFonts w:ascii="Arial" w:hAnsi="Arial" w:cs="Arial"/>
                <w:color w:val="000000"/>
              </w:rPr>
              <w:t>solucion</w:t>
            </w:r>
            <w:proofErr w:type="spellEnd"/>
            <w:r w:rsidRPr="00151877">
              <w:rPr>
                <w:rFonts w:ascii="Arial" w:hAnsi="Arial" w:cs="Arial"/>
              </w:rPr>
              <w:t xml:space="preserve"> el respectivo   </w:t>
            </w:r>
            <w:r w:rsidRPr="00151877">
              <w:rPr>
                <w:rFonts w:ascii="Arial" w:hAnsi="Arial" w:cs="Arial"/>
                <w:b/>
                <w:i/>
                <w:u w:val="single"/>
              </w:rPr>
              <w:t>Plan de Mejoramiento</w:t>
            </w:r>
            <w:r w:rsidRPr="00151877">
              <w:rPr>
                <w:rFonts w:ascii="Arial" w:hAnsi="Arial" w:cs="Arial"/>
                <w:color w:val="000000"/>
              </w:rPr>
              <w:t>, efectuando el</w:t>
            </w:r>
            <w:r w:rsidRPr="00151877">
              <w:rPr>
                <w:rFonts w:ascii="Arial" w:hAnsi="Arial" w:cs="Arial"/>
              </w:rPr>
              <w:t xml:space="preserve"> control del   Sistema Integrado de Gestión de la </w:t>
            </w:r>
            <w:r w:rsidR="005702C2" w:rsidRPr="00151877">
              <w:rPr>
                <w:rFonts w:ascii="Arial" w:hAnsi="Arial" w:cs="Arial"/>
              </w:rPr>
              <w:t>Entidad</w:t>
            </w:r>
            <w:r w:rsidR="005702C2">
              <w:rPr>
                <w:rFonts w:ascii="Arial" w:hAnsi="Arial" w:cs="Arial"/>
              </w:rPr>
              <w:t>,</w:t>
            </w:r>
            <w:r w:rsidR="005702C2" w:rsidRPr="00151877">
              <w:rPr>
                <w:rFonts w:ascii="Arial" w:hAnsi="Arial" w:cs="Arial"/>
              </w:rPr>
              <w:t xml:space="preserve"> tomando</w:t>
            </w:r>
            <w:r w:rsidRPr="00151877">
              <w:rPr>
                <w:rFonts w:ascii="Arial" w:hAnsi="Arial" w:cs="Arial"/>
              </w:rPr>
              <w:t xml:space="preserve"> acciones correctivas, que permitan un mejoramiento continuo en la gestión y el logro de los objetivos institucionales</w:t>
            </w:r>
            <w:r w:rsidRPr="00FE3DE7">
              <w:rPr>
                <w:rFonts w:ascii="Arial" w:hAnsi="Arial" w:cs="Arial"/>
              </w:rPr>
              <w:t xml:space="preserve"> en términos de eficiencia, eficacia y efectividad.  </w:t>
            </w:r>
          </w:p>
          <w:p w14:paraId="3891066E" w14:textId="77777777" w:rsidR="00CC5689" w:rsidRDefault="00CC5689" w:rsidP="00CC5689">
            <w:pPr>
              <w:pStyle w:val="Prrafodelista"/>
              <w:jc w:val="both"/>
              <w:rPr>
                <w:rFonts w:ascii="Arial" w:hAnsi="Arial" w:cs="Arial"/>
              </w:rPr>
            </w:pPr>
          </w:p>
          <w:p w14:paraId="5E1751B7" w14:textId="77777777" w:rsidR="0070153D" w:rsidRDefault="0070153D" w:rsidP="0070153D">
            <w:pPr>
              <w:pStyle w:val="Prrafodelista"/>
              <w:numPr>
                <w:ilvl w:val="0"/>
                <w:numId w:val="9"/>
              </w:numPr>
              <w:jc w:val="both"/>
              <w:rPr>
                <w:rFonts w:ascii="Arial" w:hAnsi="Arial" w:cs="Arial"/>
              </w:rPr>
            </w:pPr>
            <w:r>
              <w:rPr>
                <w:rFonts w:ascii="Arial" w:hAnsi="Arial" w:cs="Arial"/>
              </w:rPr>
              <w:t>Se recomienda presentar los reportes</w:t>
            </w:r>
            <w:r w:rsidRPr="00340E34">
              <w:rPr>
                <w:rFonts w:ascii="Arial" w:hAnsi="Arial" w:cs="Arial"/>
              </w:rPr>
              <w:t xml:space="preserve">  en las fechas estimadas</w:t>
            </w:r>
            <w:r>
              <w:rPr>
                <w:rFonts w:ascii="Arial" w:hAnsi="Arial" w:cs="Arial"/>
              </w:rPr>
              <w:t xml:space="preserve">, por consiguiente se </w:t>
            </w:r>
            <w:r w:rsidRPr="00340E34">
              <w:rPr>
                <w:rFonts w:ascii="Arial" w:hAnsi="Arial" w:cs="Arial"/>
              </w:rPr>
              <w:t xml:space="preserve"> reitera a </w:t>
            </w:r>
            <w:r>
              <w:rPr>
                <w:rFonts w:ascii="Arial" w:hAnsi="Arial" w:cs="Arial"/>
              </w:rPr>
              <w:t xml:space="preserve">los líderes de los </w:t>
            </w:r>
            <w:r w:rsidRPr="00340E34">
              <w:rPr>
                <w:rFonts w:ascii="Arial" w:hAnsi="Arial" w:cs="Arial"/>
              </w:rPr>
              <w:t xml:space="preserve"> procesos la importancia de reportar  el seguimiento  con  todas sus evidencias de cumplimiento, a la Oficina de Planeación en los cinco (5)  días hábiles siguientes al corte, ya que incumplir este lineamiento dificulta el seguimiento que debe ejecutar la Oficina  de Control Interno como responsable de realizar la verificación y evaluar el  seguimiento y control del Mapa de Riesgos Integrado.</w:t>
            </w:r>
            <w:r>
              <w:rPr>
                <w:rFonts w:ascii="Arial" w:hAnsi="Arial" w:cs="Arial"/>
              </w:rPr>
              <w:t xml:space="preserve"> Así mismo, </w:t>
            </w:r>
            <w:r w:rsidRPr="009C17A2">
              <w:rPr>
                <w:rFonts w:ascii="Arial" w:hAnsi="Arial" w:cs="Arial"/>
              </w:rPr>
              <w:t>en los controles establec</w:t>
            </w:r>
            <w:r>
              <w:rPr>
                <w:rFonts w:ascii="Arial" w:hAnsi="Arial" w:cs="Arial"/>
              </w:rPr>
              <w:t xml:space="preserve">idos para mitigar los riesgos deben </w:t>
            </w:r>
            <w:r w:rsidRPr="009C17A2">
              <w:rPr>
                <w:rFonts w:ascii="Arial" w:hAnsi="Arial" w:cs="Arial"/>
              </w:rPr>
              <w:t>tener un plan de contingencia   en el momento en que ocurra algún problema o inconvenient</w:t>
            </w:r>
            <w:r>
              <w:rPr>
                <w:rFonts w:ascii="Arial" w:hAnsi="Arial" w:cs="Arial"/>
              </w:rPr>
              <w:t xml:space="preserve">e tecnológicos o de aplicativos y </w:t>
            </w:r>
            <w:r w:rsidRPr="009C17A2">
              <w:rPr>
                <w:rFonts w:ascii="Arial" w:hAnsi="Arial" w:cs="Arial"/>
              </w:rPr>
              <w:t xml:space="preserve">mediante un formato   </w:t>
            </w:r>
            <w:r>
              <w:rPr>
                <w:rFonts w:ascii="Arial" w:hAnsi="Arial" w:cs="Arial"/>
              </w:rPr>
              <w:t xml:space="preserve">realizar la </w:t>
            </w:r>
            <w:r w:rsidRPr="009C17A2">
              <w:rPr>
                <w:rFonts w:ascii="Arial" w:hAnsi="Arial" w:cs="Arial"/>
              </w:rPr>
              <w:t xml:space="preserve">remisión de los reportes correspondientes </w:t>
            </w:r>
            <w:r>
              <w:rPr>
                <w:rFonts w:ascii="Arial" w:hAnsi="Arial" w:cs="Arial"/>
              </w:rPr>
              <w:t xml:space="preserve">y así </w:t>
            </w:r>
            <w:r w:rsidRPr="009C17A2">
              <w:rPr>
                <w:rFonts w:ascii="Arial" w:hAnsi="Arial" w:cs="Arial"/>
              </w:rPr>
              <w:t xml:space="preserve">dar cumplimiento en los tiempos establecidos.   </w:t>
            </w:r>
          </w:p>
          <w:p w14:paraId="71D8C35D" w14:textId="77777777" w:rsidR="0070153D" w:rsidRDefault="0070153D" w:rsidP="0070153D">
            <w:pPr>
              <w:pStyle w:val="Prrafodelista"/>
              <w:jc w:val="both"/>
              <w:rPr>
                <w:rFonts w:ascii="Arial" w:hAnsi="Arial" w:cs="Arial"/>
              </w:rPr>
            </w:pPr>
          </w:p>
          <w:p w14:paraId="1B2441EC" w14:textId="3FD7BBD3" w:rsidR="00D17B2D" w:rsidRDefault="00D17B2D" w:rsidP="00CC5689">
            <w:pPr>
              <w:pStyle w:val="Prrafodelista"/>
              <w:numPr>
                <w:ilvl w:val="0"/>
                <w:numId w:val="9"/>
              </w:numPr>
              <w:spacing w:after="0" w:line="240" w:lineRule="auto"/>
              <w:jc w:val="both"/>
              <w:rPr>
                <w:rFonts w:ascii="Arial" w:hAnsi="Arial" w:cs="Arial"/>
                <w:noProof/>
                <w:lang w:eastAsia="es-ES"/>
              </w:rPr>
            </w:pPr>
            <w:r w:rsidRPr="002E3962">
              <w:rPr>
                <w:rFonts w:ascii="Arial" w:hAnsi="Arial" w:cs="Arial"/>
                <w:noProof/>
                <w:lang w:eastAsia="es-ES"/>
              </w:rPr>
              <w:t xml:space="preserve">Para la adecuada mitigacion de los riesgos, </w:t>
            </w:r>
            <w:r w:rsidR="00251410">
              <w:rPr>
                <w:rFonts w:ascii="Arial" w:hAnsi="Arial" w:cs="Arial"/>
                <w:noProof/>
                <w:lang w:eastAsia="es-ES"/>
              </w:rPr>
              <w:t>se requiere</w:t>
            </w:r>
            <w:r w:rsidRPr="002E3962">
              <w:rPr>
                <w:rFonts w:ascii="Arial" w:hAnsi="Arial" w:cs="Arial"/>
                <w:noProof/>
                <w:lang w:eastAsia="es-ES"/>
              </w:rPr>
              <w:t xml:space="preserve"> que el control este bien diseñado, </w:t>
            </w:r>
            <w:r>
              <w:rPr>
                <w:rFonts w:ascii="Arial" w:hAnsi="Arial" w:cs="Arial"/>
                <w:noProof/>
                <w:lang w:eastAsia="es-ES"/>
              </w:rPr>
              <w:t xml:space="preserve">se recomienda que </w:t>
            </w:r>
            <w:r w:rsidRPr="002E3962">
              <w:rPr>
                <w:rFonts w:ascii="Arial" w:hAnsi="Arial" w:cs="Arial"/>
                <w:noProof/>
                <w:lang w:eastAsia="es-ES"/>
              </w:rPr>
              <w:t xml:space="preserve">el control </w:t>
            </w:r>
            <w:r>
              <w:rPr>
                <w:rFonts w:ascii="Arial" w:hAnsi="Arial" w:cs="Arial"/>
                <w:noProof/>
                <w:lang w:eastAsia="es-ES"/>
              </w:rPr>
              <w:t>se</w:t>
            </w:r>
            <w:r w:rsidRPr="002E3962">
              <w:rPr>
                <w:rFonts w:ascii="Arial" w:hAnsi="Arial" w:cs="Arial"/>
                <w:noProof/>
                <w:lang w:eastAsia="es-ES"/>
              </w:rPr>
              <w:t xml:space="preserve"> ejecut</w:t>
            </w:r>
            <w:r>
              <w:rPr>
                <w:rFonts w:ascii="Arial" w:hAnsi="Arial" w:cs="Arial"/>
                <w:noProof/>
                <w:lang w:eastAsia="es-ES"/>
              </w:rPr>
              <w:t>e</w:t>
            </w:r>
            <w:r w:rsidRPr="002E3962">
              <w:rPr>
                <w:rFonts w:ascii="Arial" w:hAnsi="Arial" w:cs="Arial"/>
                <w:noProof/>
                <w:lang w:eastAsia="es-ES"/>
              </w:rPr>
              <w:t xml:space="preserve"> por parte de los responsables  tal y como esta diseñado. Un control que no se ejecute, o un control que se ejecute y estè mal diseñado, no va a contrib</w:t>
            </w:r>
            <w:r>
              <w:rPr>
                <w:rFonts w:ascii="Arial" w:hAnsi="Arial" w:cs="Arial"/>
                <w:noProof/>
                <w:lang w:eastAsia="es-ES"/>
              </w:rPr>
              <w:t>uir a la mitigacion del riesgo.</w:t>
            </w:r>
          </w:p>
          <w:p w14:paraId="7260241F" w14:textId="77777777" w:rsidR="00D17B2D" w:rsidRPr="00B51652" w:rsidRDefault="00D17B2D" w:rsidP="00CC5689">
            <w:pPr>
              <w:pStyle w:val="Prrafodelista"/>
              <w:spacing w:line="240" w:lineRule="auto"/>
              <w:jc w:val="both"/>
              <w:rPr>
                <w:rFonts w:ascii="Arial" w:hAnsi="Arial" w:cs="Arial"/>
              </w:rPr>
            </w:pPr>
          </w:p>
        </w:tc>
      </w:tr>
    </w:tbl>
    <w:p w14:paraId="7C6ADD95" w14:textId="77777777" w:rsidR="008B2792" w:rsidRDefault="008B2792" w:rsidP="00D17B2D">
      <w:pPr>
        <w:rPr>
          <w:b/>
        </w:rPr>
      </w:pPr>
    </w:p>
    <w:p w14:paraId="559FFD9D" w14:textId="77777777" w:rsidR="00D17B2D" w:rsidRPr="002E3962" w:rsidRDefault="00D17B2D" w:rsidP="00D17B2D">
      <w:pPr>
        <w:rPr>
          <w:rFonts w:ascii="Arial" w:hAnsi="Arial" w:cs="Arial"/>
        </w:rPr>
      </w:pPr>
      <w:r w:rsidRPr="002E3962">
        <w:rPr>
          <w:rFonts w:ascii="Arial" w:hAnsi="Arial" w:cs="Arial"/>
        </w:rPr>
        <w:t xml:space="preserve">Atentamente, </w:t>
      </w:r>
    </w:p>
    <w:p w14:paraId="75D153B0" w14:textId="1919CAF3" w:rsidR="00D17B2D" w:rsidRDefault="00D17B2D" w:rsidP="00D17B2D">
      <w:pPr>
        <w:rPr>
          <w:b/>
        </w:rPr>
      </w:pPr>
    </w:p>
    <w:p w14:paraId="0D8B7A49" w14:textId="77777777" w:rsidR="00114C7E" w:rsidRDefault="00114C7E" w:rsidP="00D17B2D">
      <w:pPr>
        <w:rPr>
          <w:b/>
        </w:rPr>
      </w:pPr>
    </w:p>
    <w:p w14:paraId="38AA977C" w14:textId="06680ABE" w:rsidR="00D17B2D" w:rsidRPr="002449C8" w:rsidRDefault="00D17B2D" w:rsidP="00D17B2D">
      <w:pPr>
        <w:spacing w:after="0" w:line="240" w:lineRule="auto"/>
        <w:jc w:val="both"/>
        <w:rPr>
          <w:rFonts w:ascii="Arial" w:hAnsi="Arial" w:cs="Arial"/>
          <w:b/>
        </w:rPr>
      </w:pPr>
      <w:r>
        <w:rPr>
          <w:rFonts w:ascii="Arial" w:hAnsi="Arial" w:cs="Arial"/>
          <w:b/>
        </w:rPr>
        <w:t>JOSE WILLIAM</w:t>
      </w:r>
      <w:r w:rsidRPr="002449C8">
        <w:rPr>
          <w:rFonts w:ascii="Arial" w:hAnsi="Arial" w:cs="Arial"/>
          <w:b/>
        </w:rPr>
        <w:t xml:space="preserve"> CASALLAS</w:t>
      </w:r>
      <w:r w:rsidR="0059024E">
        <w:rPr>
          <w:rFonts w:ascii="Arial" w:hAnsi="Arial" w:cs="Arial"/>
          <w:b/>
        </w:rPr>
        <w:t xml:space="preserve"> FANDIÑO</w:t>
      </w:r>
    </w:p>
    <w:p w14:paraId="03823DAD" w14:textId="77777777" w:rsidR="00D17B2D" w:rsidRPr="002449C8" w:rsidRDefault="00D17B2D" w:rsidP="00D17B2D">
      <w:pPr>
        <w:spacing w:after="0" w:line="240" w:lineRule="auto"/>
        <w:jc w:val="both"/>
        <w:rPr>
          <w:rFonts w:ascii="Arial" w:hAnsi="Arial" w:cs="Arial"/>
        </w:rPr>
      </w:pPr>
      <w:r>
        <w:rPr>
          <w:rFonts w:ascii="Arial" w:hAnsi="Arial" w:cs="Arial"/>
        </w:rPr>
        <w:t>Jefe Oficina de Control I</w:t>
      </w:r>
      <w:r w:rsidRPr="002449C8">
        <w:rPr>
          <w:rFonts w:ascii="Arial" w:hAnsi="Arial" w:cs="Arial"/>
        </w:rPr>
        <w:t>nterno</w:t>
      </w:r>
    </w:p>
    <w:bookmarkEnd w:id="1"/>
    <w:bookmarkEnd w:id="2"/>
    <w:p w14:paraId="105C7572" w14:textId="77777777" w:rsidR="000F58FC" w:rsidRDefault="000F58FC" w:rsidP="00D17B2D">
      <w:pPr>
        <w:spacing w:after="0" w:line="240" w:lineRule="auto"/>
        <w:jc w:val="both"/>
        <w:rPr>
          <w:rFonts w:ascii="Arial" w:hAnsi="Arial" w:cs="Arial"/>
          <w:sz w:val="14"/>
          <w:szCs w:val="14"/>
        </w:rPr>
      </w:pPr>
    </w:p>
    <w:p w14:paraId="21F3F3FC" w14:textId="548F166F" w:rsidR="00D17B2D" w:rsidRDefault="00D17B2D" w:rsidP="00D17B2D">
      <w:pPr>
        <w:spacing w:after="0" w:line="240" w:lineRule="auto"/>
        <w:jc w:val="both"/>
        <w:rPr>
          <w:rFonts w:ascii="Arial" w:hAnsi="Arial" w:cs="Arial"/>
          <w:sz w:val="14"/>
          <w:szCs w:val="14"/>
        </w:rPr>
      </w:pPr>
      <w:r w:rsidRPr="002449C8">
        <w:rPr>
          <w:rFonts w:ascii="Arial" w:hAnsi="Arial" w:cs="Arial"/>
          <w:sz w:val="14"/>
          <w:szCs w:val="14"/>
        </w:rPr>
        <w:t>Elaborad</w:t>
      </w:r>
      <w:r>
        <w:rPr>
          <w:rFonts w:ascii="Arial" w:hAnsi="Arial" w:cs="Arial"/>
          <w:sz w:val="14"/>
          <w:szCs w:val="14"/>
        </w:rPr>
        <w:t>o: Carmen Aylet Rubio Torres.</w:t>
      </w:r>
    </w:p>
    <w:sectPr w:rsidR="00D17B2D" w:rsidSect="00EA2B37">
      <w:headerReference w:type="even" r:id="rId13"/>
      <w:headerReference w:type="default" r:id="rId14"/>
      <w:footerReference w:type="even" r:id="rId15"/>
      <w:footerReference w:type="default" r:id="rId16"/>
      <w:headerReference w:type="first" r:id="rId17"/>
      <w:footerReference w:type="first" r:id="rId18"/>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6731" w14:textId="77777777" w:rsidR="00AC3610" w:rsidRDefault="00AC3610" w:rsidP="006B0C0A">
      <w:pPr>
        <w:spacing w:after="0" w:line="240" w:lineRule="auto"/>
      </w:pPr>
      <w:r>
        <w:separator/>
      </w:r>
    </w:p>
  </w:endnote>
  <w:endnote w:type="continuationSeparator" w:id="0">
    <w:p w14:paraId="66B5CC2A" w14:textId="77777777" w:rsidR="00AC3610" w:rsidRDefault="00AC3610"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4BE8" w14:textId="77777777" w:rsidR="00AC3610" w:rsidRDefault="00AC3610" w:rsidP="006B0C0A">
      <w:pPr>
        <w:spacing w:after="0" w:line="240" w:lineRule="auto"/>
      </w:pPr>
      <w:r>
        <w:separator/>
      </w:r>
    </w:p>
  </w:footnote>
  <w:footnote w:type="continuationSeparator" w:id="0">
    <w:p w14:paraId="130D5314" w14:textId="77777777" w:rsidR="00AC3610" w:rsidRDefault="00AC3610"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347DAA" w:rsidRDefault="00347DAA" w:rsidP="00AD546C">
    <w:pPr>
      <w:tabs>
        <w:tab w:val="right" w:pos="10800"/>
      </w:tabs>
    </w:pPr>
    <w:r>
      <w:rPr>
        <w:noProof/>
        <w:lang w:eastAsia="es-ES"/>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5A53C"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ES"/>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5B44CD" w:rsidRDefault="00AB3D04" w:rsidP="000F2FEE">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sidR="00EA2B37">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37">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05223F"/>
    <w:multiLevelType w:val="hybridMultilevel"/>
    <w:tmpl w:val="F0885712"/>
    <w:lvl w:ilvl="0" w:tplc="E0D28C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3"/>
  </w:num>
  <w:num w:numId="3">
    <w:abstractNumId w:val="5"/>
  </w:num>
  <w:num w:numId="4">
    <w:abstractNumId w:val="11"/>
  </w:num>
  <w:num w:numId="5">
    <w:abstractNumId w:val="0"/>
  </w:num>
  <w:num w:numId="6">
    <w:abstractNumId w:val="8"/>
  </w:num>
  <w:num w:numId="7">
    <w:abstractNumId w:val="6"/>
  </w:num>
  <w:num w:numId="8">
    <w:abstractNumId w:val="2"/>
  </w:num>
  <w:num w:numId="9">
    <w:abstractNumId w:val="4"/>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12C04"/>
    <w:rsid w:val="00016AE9"/>
    <w:rsid w:val="00027DE0"/>
    <w:rsid w:val="00031993"/>
    <w:rsid w:val="0007254A"/>
    <w:rsid w:val="000748A3"/>
    <w:rsid w:val="00077A57"/>
    <w:rsid w:val="000904F5"/>
    <w:rsid w:val="00097CF2"/>
    <w:rsid w:val="000C3E3A"/>
    <w:rsid w:val="000E0F68"/>
    <w:rsid w:val="000E5F10"/>
    <w:rsid w:val="000F0DC6"/>
    <w:rsid w:val="000F2FEE"/>
    <w:rsid w:val="000F58FC"/>
    <w:rsid w:val="00104F10"/>
    <w:rsid w:val="00114C7E"/>
    <w:rsid w:val="001150E0"/>
    <w:rsid w:val="0011629D"/>
    <w:rsid w:val="00165B99"/>
    <w:rsid w:val="00172F41"/>
    <w:rsid w:val="00174337"/>
    <w:rsid w:val="00174F5F"/>
    <w:rsid w:val="001762A1"/>
    <w:rsid w:val="00180299"/>
    <w:rsid w:val="00182294"/>
    <w:rsid w:val="00187C22"/>
    <w:rsid w:val="00197EA1"/>
    <w:rsid w:val="001A608F"/>
    <w:rsid w:val="001B3CCC"/>
    <w:rsid w:val="001B691D"/>
    <w:rsid w:val="001B7BF0"/>
    <w:rsid w:val="001C0AC6"/>
    <w:rsid w:val="001C6BCF"/>
    <w:rsid w:val="001E5040"/>
    <w:rsid w:val="001F0450"/>
    <w:rsid w:val="001F08DE"/>
    <w:rsid w:val="0020084B"/>
    <w:rsid w:val="00200E34"/>
    <w:rsid w:val="00201A32"/>
    <w:rsid w:val="002125FF"/>
    <w:rsid w:val="00251410"/>
    <w:rsid w:val="00266C4C"/>
    <w:rsid w:val="002730E1"/>
    <w:rsid w:val="002C3390"/>
    <w:rsid w:val="002D171B"/>
    <w:rsid w:val="002D6033"/>
    <w:rsid w:val="002E2DF3"/>
    <w:rsid w:val="002E7678"/>
    <w:rsid w:val="00324F44"/>
    <w:rsid w:val="0032558B"/>
    <w:rsid w:val="0033091D"/>
    <w:rsid w:val="00347DAA"/>
    <w:rsid w:val="0035611C"/>
    <w:rsid w:val="00365CEA"/>
    <w:rsid w:val="003739BB"/>
    <w:rsid w:val="003B0C84"/>
    <w:rsid w:val="003B3AD7"/>
    <w:rsid w:val="003C5C49"/>
    <w:rsid w:val="003D1DC9"/>
    <w:rsid w:val="003F4CE0"/>
    <w:rsid w:val="0042656D"/>
    <w:rsid w:val="0045026A"/>
    <w:rsid w:val="004614F8"/>
    <w:rsid w:val="00490CBC"/>
    <w:rsid w:val="004959D9"/>
    <w:rsid w:val="004C0277"/>
    <w:rsid w:val="004D13C2"/>
    <w:rsid w:val="004D59E8"/>
    <w:rsid w:val="004E0D9D"/>
    <w:rsid w:val="004E203D"/>
    <w:rsid w:val="004F2D07"/>
    <w:rsid w:val="004F6500"/>
    <w:rsid w:val="00506E05"/>
    <w:rsid w:val="00516DC2"/>
    <w:rsid w:val="00542AA0"/>
    <w:rsid w:val="00546862"/>
    <w:rsid w:val="00566964"/>
    <w:rsid w:val="005702C2"/>
    <w:rsid w:val="00570C97"/>
    <w:rsid w:val="0059024E"/>
    <w:rsid w:val="005B44CD"/>
    <w:rsid w:val="005C0CBB"/>
    <w:rsid w:val="005C5BF7"/>
    <w:rsid w:val="005E2D54"/>
    <w:rsid w:val="00621A34"/>
    <w:rsid w:val="0062609A"/>
    <w:rsid w:val="0067287C"/>
    <w:rsid w:val="00672A92"/>
    <w:rsid w:val="00682556"/>
    <w:rsid w:val="00687091"/>
    <w:rsid w:val="006B0C0A"/>
    <w:rsid w:val="006B50FF"/>
    <w:rsid w:val="006E19B6"/>
    <w:rsid w:val="0070153D"/>
    <w:rsid w:val="00716719"/>
    <w:rsid w:val="00733693"/>
    <w:rsid w:val="00736976"/>
    <w:rsid w:val="00736B61"/>
    <w:rsid w:val="007378AF"/>
    <w:rsid w:val="00747438"/>
    <w:rsid w:val="00773DB4"/>
    <w:rsid w:val="00781D9C"/>
    <w:rsid w:val="0078565E"/>
    <w:rsid w:val="007C5BD3"/>
    <w:rsid w:val="007C614B"/>
    <w:rsid w:val="007E5024"/>
    <w:rsid w:val="00801E81"/>
    <w:rsid w:val="008243AF"/>
    <w:rsid w:val="0083693A"/>
    <w:rsid w:val="00880991"/>
    <w:rsid w:val="00881F59"/>
    <w:rsid w:val="008B2792"/>
    <w:rsid w:val="008D565D"/>
    <w:rsid w:val="008E2A1F"/>
    <w:rsid w:val="008E3A44"/>
    <w:rsid w:val="00941C33"/>
    <w:rsid w:val="00950D60"/>
    <w:rsid w:val="009809F3"/>
    <w:rsid w:val="00984EFC"/>
    <w:rsid w:val="009871B2"/>
    <w:rsid w:val="009A0F83"/>
    <w:rsid w:val="009F7D63"/>
    <w:rsid w:val="00A008CF"/>
    <w:rsid w:val="00A22A02"/>
    <w:rsid w:val="00A51A26"/>
    <w:rsid w:val="00A65B07"/>
    <w:rsid w:val="00A7655D"/>
    <w:rsid w:val="00A90556"/>
    <w:rsid w:val="00A95F19"/>
    <w:rsid w:val="00A96D2E"/>
    <w:rsid w:val="00A977F1"/>
    <w:rsid w:val="00AB3D04"/>
    <w:rsid w:val="00AC3610"/>
    <w:rsid w:val="00B15AD0"/>
    <w:rsid w:val="00B4000E"/>
    <w:rsid w:val="00B41B38"/>
    <w:rsid w:val="00B5052C"/>
    <w:rsid w:val="00B52029"/>
    <w:rsid w:val="00B52166"/>
    <w:rsid w:val="00B760BB"/>
    <w:rsid w:val="00B954BD"/>
    <w:rsid w:val="00BA21F0"/>
    <w:rsid w:val="00C11ECC"/>
    <w:rsid w:val="00C154B6"/>
    <w:rsid w:val="00C16495"/>
    <w:rsid w:val="00C31B89"/>
    <w:rsid w:val="00C324C9"/>
    <w:rsid w:val="00C817DE"/>
    <w:rsid w:val="00C864F4"/>
    <w:rsid w:val="00C8792F"/>
    <w:rsid w:val="00C911CE"/>
    <w:rsid w:val="00C94B35"/>
    <w:rsid w:val="00C964B8"/>
    <w:rsid w:val="00CA2A96"/>
    <w:rsid w:val="00CC5689"/>
    <w:rsid w:val="00CC66AA"/>
    <w:rsid w:val="00CE306A"/>
    <w:rsid w:val="00CE56CC"/>
    <w:rsid w:val="00CF3197"/>
    <w:rsid w:val="00CF5B5A"/>
    <w:rsid w:val="00D006DB"/>
    <w:rsid w:val="00D06538"/>
    <w:rsid w:val="00D17B2D"/>
    <w:rsid w:val="00D2285C"/>
    <w:rsid w:val="00D23A9D"/>
    <w:rsid w:val="00D27775"/>
    <w:rsid w:val="00D43DD3"/>
    <w:rsid w:val="00D7218C"/>
    <w:rsid w:val="00D923AF"/>
    <w:rsid w:val="00D974DE"/>
    <w:rsid w:val="00DA0007"/>
    <w:rsid w:val="00DA45F2"/>
    <w:rsid w:val="00DD0A09"/>
    <w:rsid w:val="00DD3163"/>
    <w:rsid w:val="00DF7740"/>
    <w:rsid w:val="00E000FA"/>
    <w:rsid w:val="00E0092C"/>
    <w:rsid w:val="00E14E01"/>
    <w:rsid w:val="00E21718"/>
    <w:rsid w:val="00E44FDE"/>
    <w:rsid w:val="00E46577"/>
    <w:rsid w:val="00E54952"/>
    <w:rsid w:val="00E95E3C"/>
    <w:rsid w:val="00EA2B37"/>
    <w:rsid w:val="00EC43A3"/>
    <w:rsid w:val="00EE3DE9"/>
    <w:rsid w:val="00EF7A34"/>
    <w:rsid w:val="00F278CC"/>
    <w:rsid w:val="00F42368"/>
    <w:rsid w:val="00F54ECA"/>
    <w:rsid w:val="00F57816"/>
    <w:rsid w:val="00F9628A"/>
    <w:rsid w:val="00FB595A"/>
    <w:rsid w:val="00FD193F"/>
    <w:rsid w:val="00FE60C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f@ssf.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2BAC-9097-480F-A377-FF9168F6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201</TotalTime>
  <Pages>7</Pages>
  <Words>1869</Words>
  <Characters>10281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77</cp:revision>
  <cp:lastPrinted>2019-05-16T14:58:00Z</cp:lastPrinted>
  <dcterms:created xsi:type="dcterms:W3CDTF">2019-05-16T14:40:00Z</dcterms:created>
  <dcterms:modified xsi:type="dcterms:W3CDTF">2019-05-17T19:15:00Z</dcterms:modified>
</cp:coreProperties>
</file>