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76" w:rsidRPr="000B1CC6" w:rsidRDefault="00E65CA0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</w:pPr>
      <w:r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Informe de seguimiento al Sistema Único De Gestión E Información Litigiosa Del Estado “Ekogui” </w:t>
      </w:r>
      <w:r w:rsidR="00AE033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–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</w:t>
      </w:r>
      <w:r w:rsidR="00080B53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Primer</w:t>
      </w:r>
      <w:r w:rsidR="00AE033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</w:t>
      </w:r>
      <w:r w:rsidR="00ED7097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(</w:t>
      </w:r>
      <w:r w:rsidR="00F429B8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I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) </w:t>
      </w:r>
      <w:r w:rsidR="00D705A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Semestre de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201</w:t>
      </w:r>
      <w:r w:rsidR="00080B53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6</w:t>
      </w:r>
    </w:p>
    <w:p w:rsidR="00927B76" w:rsidRDefault="00927B76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515BFA" w:rsidRPr="00080B53" w:rsidRDefault="00515BFA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27B76" w:rsidRPr="00322189" w:rsidRDefault="00D705A1" w:rsidP="00927B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  <w:t>Información General</w:t>
      </w:r>
    </w:p>
    <w:p w:rsidR="00927B76" w:rsidRPr="00322189" w:rsidRDefault="00D705A1" w:rsidP="00322189">
      <w:pPr>
        <w:pStyle w:val="Ttulo2"/>
        <w:numPr>
          <w:ilvl w:val="1"/>
          <w:numId w:val="6"/>
        </w:numPr>
        <w:rPr>
          <w:rFonts w:ascii="Arial Narrow" w:hAnsi="Arial Narrow" w:cs="Arial"/>
          <w:sz w:val="22"/>
          <w:szCs w:val="22"/>
          <w:lang w:val="es-CO"/>
        </w:rPr>
      </w:pPr>
      <w:r w:rsidRPr="00322189">
        <w:rPr>
          <w:rFonts w:ascii="Arial Narrow" w:hAnsi="Arial Narrow" w:cs="Arial"/>
          <w:sz w:val="22"/>
          <w:szCs w:val="22"/>
          <w:lang w:val="es-CO"/>
        </w:rPr>
        <w:t xml:space="preserve">Objetivo </w:t>
      </w:r>
    </w:p>
    <w:p w:rsidR="00927B76" w:rsidRPr="00080B53" w:rsidRDefault="00927B76" w:rsidP="00927B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27B76" w:rsidRPr="00080B53" w:rsidRDefault="00212249" w:rsidP="00515BFA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Efectuar el seguimiento en el sistema de informa</w:t>
      </w:r>
      <w:r w:rsidR="005C63DA" w:rsidRPr="00080B53">
        <w:rPr>
          <w:rFonts w:ascii="Arial Narrow" w:hAnsi="Arial Narrow" w:cs="Arial"/>
          <w:sz w:val="24"/>
          <w:szCs w:val="24"/>
        </w:rPr>
        <w:t>ción litigiosa del estado eK</w:t>
      </w:r>
      <w:r w:rsidR="00E65CA0" w:rsidRPr="00080B53">
        <w:rPr>
          <w:rFonts w:ascii="Arial Narrow" w:hAnsi="Arial Narrow" w:cs="Arial"/>
          <w:sz w:val="24"/>
          <w:szCs w:val="24"/>
        </w:rPr>
        <w:t xml:space="preserve">ogui </w:t>
      </w:r>
      <w:r w:rsidRPr="00080B53">
        <w:rPr>
          <w:rFonts w:ascii="Arial Narrow" w:hAnsi="Arial Narrow" w:cs="Arial"/>
          <w:sz w:val="24"/>
          <w:szCs w:val="24"/>
        </w:rPr>
        <w:t xml:space="preserve">del registro y actualizaciones de la información de los procesos judiciales y conciliaciones con el fin de verificar que se haya realizado de manera oportuna y completa por parte de la Oficina Asesora Jurídica a través de los roles que se tienen asignados en la Superintendencia del Subsidio Familiar, y emitir la presente certificación correspondiente al </w:t>
      </w:r>
      <w:r w:rsidR="00080B53">
        <w:rPr>
          <w:rFonts w:ascii="Arial Narrow" w:hAnsi="Arial Narrow" w:cs="Arial"/>
          <w:sz w:val="24"/>
          <w:szCs w:val="24"/>
        </w:rPr>
        <w:t>primer semestre de la vigencia 2016</w:t>
      </w:r>
      <w:r w:rsidRPr="00080B53">
        <w:rPr>
          <w:rFonts w:ascii="Arial Narrow" w:hAnsi="Arial Narrow" w:cs="Arial"/>
          <w:sz w:val="24"/>
          <w:szCs w:val="24"/>
        </w:rPr>
        <w:t>.</w:t>
      </w:r>
      <w:r w:rsidR="00B17A55" w:rsidRPr="00080B53">
        <w:rPr>
          <w:rFonts w:ascii="Arial Narrow" w:hAnsi="Arial Narrow" w:cs="Arial"/>
          <w:sz w:val="24"/>
          <w:szCs w:val="24"/>
        </w:rPr>
        <w:tab/>
      </w:r>
    </w:p>
    <w:p w:rsidR="00927B76" w:rsidRPr="00322189" w:rsidRDefault="00D705A1" w:rsidP="00322189">
      <w:pPr>
        <w:pStyle w:val="Ttulo2"/>
        <w:numPr>
          <w:ilvl w:val="1"/>
          <w:numId w:val="6"/>
        </w:numPr>
        <w:rPr>
          <w:rFonts w:ascii="Arial Narrow" w:hAnsi="Arial Narrow" w:cs="Arial"/>
          <w:sz w:val="22"/>
          <w:szCs w:val="22"/>
          <w:lang w:val="es-CO"/>
        </w:rPr>
      </w:pPr>
      <w:r w:rsidRPr="00322189">
        <w:rPr>
          <w:rFonts w:ascii="Arial Narrow" w:hAnsi="Arial Narrow" w:cs="Arial"/>
          <w:sz w:val="22"/>
          <w:szCs w:val="22"/>
          <w:lang w:val="es-CO"/>
        </w:rPr>
        <w:t xml:space="preserve"> Alcance </w:t>
      </w:r>
    </w:p>
    <w:p w:rsidR="0051299B" w:rsidRPr="00080B53" w:rsidRDefault="0051299B" w:rsidP="0051299B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"/>
          <w:b/>
          <w:bCs/>
          <w:sz w:val="24"/>
          <w:szCs w:val="24"/>
        </w:rPr>
      </w:pPr>
    </w:p>
    <w:p w:rsidR="00927B76" w:rsidRPr="00080B53" w:rsidRDefault="002D7387" w:rsidP="000476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El periodo evaluado</w:t>
      </w:r>
      <w:r w:rsidR="002C07C3" w:rsidRPr="00080B53">
        <w:rPr>
          <w:rFonts w:ascii="Arial Narrow" w:hAnsi="Arial Narrow" w:cs="Arial"/>
          <w:sz w:val="24"/>
          <w:szCs w:val="24"/>
        </w:rPr>
        <w:t xml:space="preserve"> se encue</w:t>
      </w:r>
      <w:r w:rsidR="00EF3353" w:rsidRPr="00080B53">
        <w:rPr>
          <w:rFonts w:ascii="Arial Narrow" w:hAnsi="Arial Narrow" w:cs="Arial"/>
          <w:sz w:val="24"/>
          <w:szCs w:val="24"/>
        </w:rPr>
        <w:t>ntra comprendido entre</w:t>
      </w:r>
      <w:r w:rsidR="00080B53">
        <w:rPr>
          <w:rFonts w:ascii="Arial Narrow" w:hAnsi="Arial Narrow" w:cs="Arial"/>
          <w:sz w:val="24"/>
          <w:szCs w:val="24"/>
        </w:rPr>
        <w:t xml:space="preserve"> enero</w:t>
      </w:r>
      <w:r w:rsidR="00EF3353" w:rsidRPr="00080B53">
        <w:rPr>
          <w:rFonts w:ascii="Arial Narrow" w:hAnsi="Arial Narrow" w:cs="Arial"/>
          <w:sz w:val="24"/>
          <w:szCs w:val="24"/>
        </w:rPr>
        <w:t xml:space="preserve"> y </w:t>
      </w:r>
      <w:r w:rsidR="00080B53">
        <w:rPr>
          <w:rFonts w:ascii="Arial Narrow" w:hAnsi="Arial Narrow" w:cs="Arial"/>
          <w:sz w:val="24"/>
          <w:szCs w:val="24"/>
        </w:rPr>
        <w:t>junio</w:t>
      </w:r>
      <w:r w:rsidR="00F429B8" w:rsidRPr="00080B53">
        <w:rPr>
          <w:rFonts w:ascii="Arial Narrow" w:hAnsi="Arial Narrow" w:cs="Arial"/>
          <w:sz w:val="24"/>
          <w:szCs w:val="24"/>
        </w:rPr>
        <w:t xml:space="preserve"> </w:t>
      </w:r>
      <w:r w:rsidR="002C07C3" w:rsidRPr="00080B53">
        <w:rPr>
          <w:rFonts w:ascii="Arial Narrow" w:hAnsi="Arial Narrow" w:cs="Arial"/>
          <w:sz w:val="24"/>
          <w:szCs w:val="24"/>
        </w:rPr>
        <w:t>de</w:t>
      </w:r>
      <w:r w:rsidR="00EF3353" w:rsidRPr="00080B53">
        <w:rPr>
          <w:rFonts w:ascii="Arial Narrow" w:hAnsi="Arial Narrow" w:cs="Arial"/>
          <w:sz w:val="24"/>
          <w:szCs w:val="24"/>
        </w:rPr>
        <w:t>l 201</w:t>
      </w:r>
      <w:r w:rsidR="00080B53">
        <w:rPr>
          <w:rFonts w:ascii="Arial Narrow" w:hAnsi="Arial Narrow" w:cs="Arial"/>
          <w:sz w:val="24"/>
          <w:szCs w:val="24"/>
        </w:rPr>
        <w:t>6</w:t>
      </w:r>
      <w:r w:rsidR="002C07C3" w:rsidRPr="00080B53">
        <w:rPr>
          <w:rFonts w:ascii="Arial Narrow" w:hAnsi="Arial Narrow" w:cs="Arial"/>
          <w:sz w:val="24"/>
          <w:szCs w:val="24"/>
        </w:rPr>
        <w:t>.</w:t>
      </w:r>
      <w:r w:rsidRPr="00080B53">
        <w:rPr>
          <w:rFonts w:ascii="Arial Narrow" w:hAnsi="Arial Narrow" w:cs="Arial"/>
          <w:sz w:val="24"/>
          <w:szCs w:val="24"/>
        </w:rPr>
        <w:t xml:space="preserve"> </w:t>
      </w:r>
      <w:r w:rsidR="00212249" w:rsidRPr="00080B53">
        <w:rPr>
          <w:rFonts w:ascii="Arial Narrow" w:hAnsi="Arial Narrow" w:cs="Arial"/>
          <w:sz w:val="24"/>
          <w:szCs w:val="24"/>
        </w:rPr>
        <w:t>Se hizo una revisión y análisis de</w:t>
      </w:r>
      <w:r w:rsidR="00927B76" w:rsidRPr="00080B53">
        <w:rPr>
          <w:rFonts w:ascii="Arial Narrow" w:hAnsi="Arial Narrow" w:cs="Arial"/>
          <w:sz w:val="24"/>
          <w:szCs w:val="24"/>
        </w:rPr>
        <w:t xml:space="preserve"> 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toda la información que se encuentra reportada en el </w:t>
      </w:r>
      <w:r w:rsidR="00E65CA0" w:rsidRPr="00080B53">
        <w:rPr>
          <w:rFonts w:ascii="Arial Narrow" w:hAnsi="Arial Narrow" w:cs="Arial"/>
          <w:sz w:val="24"/>
          <w:szCs w:val="24"/>
        </w:rPr>
        <w:t>eKogui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de acuerdo a la matriz de los procesos judiciales de la entidad entregada por la Oficina Asesora Jurídica de la Supersubsidio, </w:t>
      </w:r>
      <w:r w:rsidR="00524F95" w:rsidRPr="00080B53">
        <w:rPr>
          <w:rFonts w:ascii="Arial Narrow" w:hAnsi="Arial Narrow" w:cs="Arial"/>
          <w:sz w:val="24"/>
          <w:szCs w:val="24"/>
        </w:rPr>
        <w:t>de acuerdo con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los criterios establecidos en el Instructivo Del Sistema Único De Gestión E Información Litigiosa Del Estado “Ekogui” Perfil Jefe De Control Interno.</w:t>
      </w:r>
      <w:r w:rsidR="00212249" w:rsidRPr="00080B53">
        <w:rPr>
          <w:rFonts w:ascii="Arial Narrow" w:hAnsi="Arial Narrow" w:cs="Arial"/>
          <w:sz w:val="24"/>
          <w:szCs w:val="24"/>
        </w:rPr>
        <w:cr/>
      </w:r>
    </w:p>
    <w:p w:rsidR="00927B76" w:rsidRPr="00322189" w:rsidRDefault="00D705A1" w:rsidP="003221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  <w:t>Certificación</w:t>
      </w:r>
    </w:p>
    <w:p w:rsidR="00927B76" w:rsidRDefault="00524F95" w:rsidP="004030E2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 xml:space="preserve">En cumplimiento con lo establecido </w:t>
      </w:r>
      <w:r w:rsidR="00322189" w:rsidRPr="00834A3F">
        <w:rPr>
          <w:rFonts w:ascii="Arial Narrow" w:hAnsi="Arial Narrow"/>
          <w:sz w:val="24"/>
          <w:szCs w:val="24"/>
        </w:rPr>
        <w:t>en el artículo 2.2.3.4.1.14 del Decreto 1069 de 2015</w:t>
      </w:r>
      <w:r w:rsidR="007C02BE" w:rsidRPr="007C02BE">
        <w:rPr>
          <w:rFonts w:ascii="Arial Narrow" w:hAnsi="Arial Narrow" w:cs="Arial"/>
          <w:sz w:val="24"/>
          <w:szCs w:val="24"/>
        </w:rPr>
        <w:t xml:space="preserve"> y la Circular Externa 5 del 26 de Junio de 2016</w:t>
      </w:r>
      <w:r w:rsidRPr="00080B53">
        <w:rPr>
          <w:rFonts w:ascii="Arial Narrow" w:hAnsi="Arial Narrow" w:cs="Arial"/>
          <w:sz w:val="24"/>
          <w:szCs w:val="24"/>
        </w:rPr>
        <w:t xml:space="preserve">, la Oficina de Control Interno de la Superintendencia del Subsidio Familiar, emite la </w:t>
      </w:r>
      <w:r w:rsidR="00024FBD">
        <w:rPr>
          <w:rFonts w:ascii="Arial Narrow" w:hAnsi="Arial Narrow" w:cs="Arial"/>
          <w:sz w:val="24"/>
          <w:szCs w:val="24"/>
        </w:rPr>
        <w:t xml:space="preserve">presente </w:t>
      </w:r>
      <w:r w:rsidRPr="00080B53">
        <w:rPr>
          <w:rFonts w:ascii="Arial Narrow" w:hAnsi="Arial Narrow" w:cs="Arial"/>
          <w:sz w:val="24"/>
          <w:szCs w:val="24"/>
        </w:rPr>
        <w:t>certificación respecto al registro y actualización del Sistema Único de Gestión e información Litigiosa del Estado</w:t>
      </w:r>
      <w:r w:rsidR="00E65CA0" w:rsidRPr="00080B53">
        <w:rPr>
          <w:rFonts w:ascii="Arial Narrow" w:hAnsi="Arial Narrow" w:cs="Arial"/>
          <w:sz w:val="24"/>
          <w:szCs w:val="24"/>
        </w:rPr>
        <w:t>, t</w:t>
      </w:r>
      <w:r w:rsidRPr="00080B53">
        <w:rPr>
          <w:rFonts w:ascii="Arial Narrow" w:hAnsi="Arial Narrow" w:cs="Arial"/>
          <w:sz w:val="24"/>
          <w:szCs w:val="24"/>
        </w:rPr>
        <w:t>eniendo en cuenta los parámetros sugeridos</w:t>
      </w:r>
      <w:r w:rsidR="00322189">
        <w:rPr>
          <w:rFonts w:ascii="Arial Narrow" w:hAnsi="Arial Narrow" w:cs="Arial"/>
          <w:sz w:val="24"/>
          <w:szCs w:val="24"/>
        </w:rPr>
        <w:t xml:space="preserve"> en el </w:t>
      </w:r>
      <w:r w:rsidR="00322189" w:rsidRPr="00834A3F">
        <w:rPr>
          <w:rFonts w:ascii="Arial Narrow" w:hAnsi="Arial Narrow"/>
          <w:sz w:val="24"/>
          <w:szCs w:val="24"/>
        </w:rPr>
        <w:t>"INSTRUCTIVO DEL SISTEMA ÚNICO DE GESTION E INFORMACION LITIGIOSA DEL ESTADO - eKOGUI - PERFIL JEFE DE CONTROL INTERNO VERSIÓN 4.0"</w:t>
      </w:r>
      <w:r w:rsidR="00B423B6">
        <w:rPr>
          <w:rFonts w:ascii="Arial Narrow" w:hAnsi="Arial Narrow"/>
          <w:sz w:val="24"/>
          <w:szCs w:val="24"/>
        </w:rPr>
        <w:t>:</w:t>
      </w:r>
    </w:p>
    <w:p w:rsidR="00047669" w:rsidRDefault="00047669" w:rsidP="00876F5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2582"/>
      </w:tblGrid>
      <w:tr w:rsidR="000A4D79" w:rsidTr="00AC4045">
        <w:trPr>
          <w:jc w:val="center"/>
        </w:trPr>
        <w:tc>
          <w:tcPr>
            <w:tcW w:w="6062" w:type="dxa"/>
          </w:tcPr>
          <w:p w:rsidR="000A4D79" w:rsidRPr="00483A31" w:rsidRDefault="000A4D79" w:rsidP="00BC0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Ingreso y retiro </w:t>
            </w:r>
            <w:r w:rsidR="00BC08F8"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de Abogados y/o Jefe de Control Interno a la entidad</w:t>
            </w:r>
          </w:p>
        </w:tc>
        <w:tc>
          <w:tcPr>
            <w:tcW w:w="2582" w:type="dxa"/>
          </w:tcPr>
          <w:p w:rsidR="000A4D79" w:rsidRPr="000A4D79" w:rsidRDefault="000A4D79" w:rsidP="00515BF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% de Cumplimiento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  <w:vAlign w:val="center"/>
          </w:tcPr>
          <w:p w:rsidR="000A4D79" w:rsidRPr="000A4D79" w:rsidRDefault="000A4D79" w:rsidP="00F844C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Creación de Nuevos Usuarios en el Sistema</w:t>
            </w:r>
          </w:p>
        </w:tc>
        <w:tc>
          <w:tcPr>
            <w:tcW w:w="2582" w:type="dxa"/>
            <w:vAlign w:val="center"/>
          </w:tcPr>
          <w:p w:rsidR="000A4D79" w:rsidRPr="001E6106" w:rsidRDefault="001E6106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  <w:vAlign w:val="center"/>
          </w:tcPr>
          <w:p w:rsidR="000A4D79" w:rsidRPr="000A4D79" w:rsidRDefault="000A4D79" w:rsidP="00F844C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Inactivación de Usuarios</w:t>
            </w:r>
          </w:p>
        </w:tc>
        <w:tc>
          <w:tcPr>
            <w:tcW w:w="2582" w:type="dxa"/>
            <w:vAlign w:val="center"/>
          </w:tcPr>
          <w:p w:rsidR="000A4D79" w:rsidRPr="001E6106" w:rsidRDefault="001E6106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AC4045">
        <w:trPr>
          <w:jc w:val="center"/>
        </w:trPr>
        <w:tc>
          <w:tcPr>
            <w:tcW w:w="8644" w:type="dxa"/>
            <w:gridSpan w:val="2"/>
          </w:tcPr>
          <w:p w:rsidR="000A4D79" w:rsidRPr="00826D6B" w:rsidRDefault="000A4D79" w:rsidP="005B3B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el rol de administrador y apoderado 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>lo tiene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 designado a la Dra. </w:t>
            </w:r>
            <w:r w:rsidR="00BC08F8">
              <w:rPr>
                <w:rFonts w:ascii="Arial Narrow" w:hAnsi="Arial Narrow" w:cs="Arial"/>
                <w:sz w:val="24"/>
                <w:szCs w:val="24"/>
              </w:rPr>
              <w:t>Lida Regina Bula,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 jefe de la Oficina Asesora Jurídica quien ejerce la representación judicial 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>de la entidad, y el de Control Interno el Dr. José William Casallas Fandiño.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 En el período de la presente certificación </w:t>
            </w:r>
            <w:r w:rsidR="00BC08F8">
              <w:rPr>
                <w:rFonts w:ascii="Arial Narrow" w:hAnsi="Arial Narrow" w:cs="Arial"/>
                <w:sz w:val="24"/>
                <w:szCs w:val="24"/>
              </w:rPr>
              <w:t>no hubo</w:t>
            </w:r>
            <w:r w:rsidR="009D0D01">
              <w:rPr>
                <w:rFonts w:ascii="Arial Narrow" w:hAnsi="Arial Narrow" w:cs="Arial"/>
                <w:sz w:val="24"/>
                <w:szCs w:val="24"/>
              </w:rPr>
              <w:t xml:space="preserve"> creación ni</w:t>
            </w:r>
            <w:r w:rsidR="00BC08F8">
              <w:rPr>
                <w:rFonts w:ascii="Arial Narrow" w:hAnsi="Arial Narrow" w:cs="Arial"/>
                <w:sz w:val="24"/>
                <w:szCs w:val="24"/>
              </w:rPr>
              <w:t xml:space="preserve"> inactivación de usuarios.</w:t>
            </w:r>
          </w:p>
        </w:tc>
      </w:tr>
      <w:tr w:rsidR="000A4D79" w:rsidTr="00E73056">
        <w:trPr>
          <w:trHeight w:val="632"/>
          <w:jc w:val="center"/>
        </w:trPr>
        <w:tc>
          <w:tcPr>
            <w:tcW w:w="6062" w:type="dxa"/>
          </w:tcPr>
          <w:p w:rsidR="000A4D79" w:rsidRPr="000A4D79" w:rsidRDefault="000A4D79" w:rsidP="00483A31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Capacitación </w:t>
            </w:r>
          </w:p>
        </w:tc>
        <w:tc>
          <w:tcPr>
            <w:tcW w:w="2582" w:type="dxa"/>
          </w:tcPr>
          <w:p w:rsidR="000A4D79" w:rsidRPr="000A4D79" w:rsidRDefault="000A4D79" w:rsidP="00A8462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N</w:t>
            </w:r>
            <w:r w:rsidR="00A8462E"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o.</w:t>
            </w: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 de Usuarios Capacitados</w:t>
            </w:r>
            <w:r w:rsidRPr="000A4D7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Usuarios capacitados por el administrador de la Entidad o la Agencia Nacional Jurídica del Estado durante la vigencia de la certificación.</w:t>
            </w:r>
          </w:p>
        </w:tc>
        <w:tc>
          <w:tcPr>
            <w:tcW w:w="2582" w:type="dxa"/>
            <w:vAlign w:val="center"/>
          </w:tcPr>
          <w:p w:rsidR="000A4D79" w:rsidRPr="00A8462E" w:rsidRDefault="00C350B9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A8462E" w:rsidTr="00515BFA">
        <w:trPr>
          <w:jc w:val="center"/>
        </w:trPr>
        <w:tc>
          <w:tcPr>
            <w:tcW w:w="8644" w:type="dxa"/>
            <w:gridSpan w:val="2"/>
          </w:tcPr>
          <w:p w:rsidR="00A8462E" w:rsidRDefault="00A8462E" w:rsidP="00F844C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04CAD">
              <w:rPr>
                <w:rFonts w:ascii="Arial Narrow" w:hAnsi="Arial Narrow"/>
                <w:sz w:val="24"/>
                <w:szCs w:val="24"/>
              </w:rPr>
              <w:t>s</w:t>
            </w:r>
            <w:r w:rsidRPr="00A8462E">
              <w:rPr>
                <w:rFonts w:ascii="Arial Narrow" w:hAnsi="Arial Narrow"/>
                <w:sz w:val="24"/>
                <w:szCs w:val="24"/>
              </w:rPr>
              <w:t xml:space="preserve">e informó </w:t>
            </w:r>
            <w:r>
              <w:rPr>
                <w:rFonts w:ascii="Arial Narrow" w:hAnsi="Arial Narrow"/>
                <w:sz w:val="24"/>
                <w:szCs w:val="24"/>
              </w:rPr>
              <w:t xml:space="preserve">por parte de la Oficina Asesora Jurídica, </w:t>
            </w:r>
            <w:r w:rsidRPr="00A8462E">
              <w:rPr>
                <w:rFonts w:ascii="Arial Narrow" w:hAnsi="Arial Narrow"/>
                <w:sz w:val="24"/>
                <w:szCs w:val="24"/>
              </w:rPr>
              <w:t>que durante el primer semestre del 2016</w:t>
            </w:r>
            <w:r>
              <w:rPr>
                <w:rFonts w:ascii="Arial Narrow" w:hAnsi="Arial Narrow"/>
                <w:sz w:val="24"/>
                <w:szCs w:val="24"/>
              </w:rPr>
              <w:t xml:space="preserve"> no </w:t>
            </w:r>
            <w:r w:rsidR="0021636C">
              <w:rPr>
                <w:rFonts w:ascii="Arial Narrow" w:hAnsi="Arial Narrow"/>
                <w:sz w:val="24"/>
                <w:szCs w:val="24"/>
              </w:rPr>
              <w:t>fueron convocados</w:t>
            </w:r>
            <w:r>
              <w:rPr>
                <w:rFonts w:ascii="Arial Narrow" w:hAnsi="Arial Narrow"/>
                <w:sz w:val="24"/>
                <w:szCs w:val="24"/>
              </w:rPr>
              <w:t xml:space="preserve"> a capacitaciones.</w:t>
            </w:r>
            <w:r w:rsidR="00E744A7">
              <w:rPr>
                <w:rFonts w:ascii="Arial Narrow" w:hAnsi="Arial Narrow"/>
                <w:sz w:val="24"/>
                <w:szCs w:val="24"/>
              </w:rPr>
              <w:t xml:space="preserve"> Por parte del rol de Jefe de Control Interno, </w:t>
            </w:r>
            <w:r w:rsidR="009D0D01">
              <w:rPr>
                <w:rFonts w:ascii="Arial Narrow" w:hAnsi="Arial Narrow"/>
                <w:sz w:val="24"/>
                <w:szCs w:val="24"/>
              </w:rPr>
              <w:t>la ANDJE</w:t>
            </w:r>
            <w:r w:rsidR="00C350B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5528F">
              <w:rPr>
                <w:rFonts w:ascii="Arial Narrow" w:hAnsi="Arial Narrow"/>
                <w:sz w:val="24"/>
                <w:szCs w:val="24"/>
              </w:rPr>
              <w:t xml:space="preserve">invitó </w:t>
            </w:r>
            <w:r w:rsidR="00C350B9">
              <w:rPr>
                <w:rFonts w:ascii="Arial Narrow" w:hAnsi="Arial Narrow"/>
                <w:sz w:val="24"/>
                <w:szCs w:val="24"/>
              </w:rPr>
              <w:t>a capacitación</w:t>
            </w:r>
            <w:r w:rsidR="00834A3F">
              <w:rPr>
                <w:rFonts w:ascii="Arial Narrow" w:hAnsi="Arial Narrow"/>
                <w:sz w:val="24"/>
                <w:szCs w:val="24"/>
              </w:rPr>
              <w:t xml:space="preserve"> el día 30 de junio de 2016,</w:t>
            </w:r>
            <w:r w:rsidR="00C350B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73056">
              <w:rPr>
                <w:rFonts w:ascii="Arial Narrow" w:hAnsi="Arial Narrow"/>
                <w:sz w:val="24"/>
                <w:szCs w:val="24"/>
              </w:rPr>
              <w:t>asistió una</w:t>
            </w:r>
            <w:r w:rsidR="009D0D01">
              <w:rPr>
                <w:rFonts w:ascii="Arial Narrow" w:hAnsi="Arial Narrow"/>
                <w:sz w:val="24"/>
                <w:szCs w:val="24"/>
              </w:rPr>
              <w:t xml:space="preserve"> funcionaria </w:t>
            </w:r>
            <w:r w:rsidR="00E73056">
              <w:rPr>
                <w:rFonts w:ascii="Arial Narrow" w:hAnsi="Arial Narrow"/>
                <w:sz w:val="24"/>
                <w:szCs w:val="24"/>
              </w:rPr>
              <w:t xml:space="preserve">de </w:t>
            </w:r>
            <w:r w:rsidR="009D0D01">
              <w:rPr>
                <w:rFonts w:ascii="Arial Narrow" w:hAnsi="Arial Narrow"/>
                <w:sz w:val="24"/>
                <w:szCs w:val="24"/>
              </w:rPr>
              <w:t xml:space="preserve">la Oficina de </w:t>
            </w:r>
            <w:r w:rsidR="00834A3F">
              <w:rPr>
                <w:rFonts w:ascii="Arial Narrow" w:hAnsi="Arial Narrow"/>
                <w:sz w:val="24"/>
                <w:szCs w:val="24"/>
              </w:rPr>
              <w:t>control interno, sobre</w:t>
            </w:r>
            <w:r w:rsidR="00834A3F" w:rsidRPr="00834A3F">
              <w:rPr>
                <w:rFonts w:ascii="Verdana" w:eastAsia="Calibri" w:hAnsi="Verdana" w:cs="Times New Roman"/>
                <w:color w:val="000000"/>
                <w:shd w:val="clear" w:color="auto" w:fill="FFFFFF"/>
              </w:rPr>
              <w:t xml:space="preserve"> </w:t>
            </w:r>
            <w:r w:rsidR="00834A3F" w:rsidRPr="00834A3F">
              <w:rPr>
                <w:rFonts w:ascii="Arial Narrow" w:hAnsi="Arial Narrow"/>
                <w:sz w:val="24"/>
                <w:szCs w:val="24"/>
              </w:rPr>
              <w:t>el "INSTRUCTIVO DEL SISTEMA ÚNICO DE GESTION E INFORMACION LITIGIOSA DEL ESTADO - eKOGUI - PERFIL JEFE DE CONTROL INTERNO VERSIÓN 4.0", mediante el cual se establecen los procedimientos y términos para el cumplimiento de las funciones establecidas a los JEFES DE CONTROL INTERNO en el artículo 2.2.3.4.1.14 del Decreto 1069 de 2015</w:t>
            </w:r>
            <w:r w:rsidR="00834A3F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F844CA" w:rsidRPr="000A4D79" w:rsidRDefault="00F844CA" w:rsidP="00F844C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4D79" w:rsidTr="00AC4045">
        <w:trPr>
          <w:jc w:val="center"/>
        </w:trPr>
        <w:tc>
          <w:tcPr>
            <w:tcW w:w="6062" w:type="dxa"/>
          </w:tcPr>
          <w:p w:rsidR="000A4D79" w:rsidRPr="000A4D79" w:rsidRDefault="000A4D79" w:rsidP="000A4D79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lastRenderedPageBreak/>
              <w:t>Demandas o Solicitudes de Conciliación para la Entidad durante la vigencia de certificación.</w:t>
            </w:r>
          </w:p>
        </w:tc>
        <w:tc>
          <w:tcPr>
            <w:tcW w:w="2582" w:type="dxa"/>
          </w:tcPr>
          <w:p w:rsidR="000A4D79" w:rsidRPr="000A4D79" w:rsidRDefault="000A4D79" w:rsidP="00515BF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% de Cumplimiento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activos que tiene a cargo la Entidad están radicados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las solicitudes de conciliación allegadas a la Entidad en el periodo de estudio están radicadas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que se terminaron tienen registrados en el sistema el sentido del fallo. (Favorable/Desfavorable)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las solicitudes de conciliación analizadas por la Entidad tienen registrado en el sistema si procedió la conciliación o no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registrados en el Sistema tengan incorporada la provisión contable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registrados en el Sistema tengan calificación del Riesgo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casos estudiados en sede del Comité de Conciliación tengan sus fichas registradas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0%</w:t>
            </w:r>
          </w:p>
        </w:tc>
      </w:tr>
      <w:tr w:rsidR="000A4D79" w:rsidTr="00AC4045">
        <w:trPr>
          <w:jc w:val="center"/>
        </w:trPr>
        <w:tc>
          <w:tcPr>
            <w:tcW w:w="8644" w:type="dxa"/>
            <w:gridSpan w:val="2"/>
          </w:tcPr>
          <w:p w:rsidR="0094142E" w:rsidRDefault="000A4D79" w:rsidP="00515BF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4142E" w:rsidRDefault="00D05CBF" w:rsidP="0019575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2218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Verificar que el 100% de los procesos (procesos activos) que lleva la entidad están radicados en el sistema: </w:t>
            </w:r>
            <w:r w:rsidR="0094142E" w:rsidRPr="00080B53">
              <w:rPr>
                <w:rFonts w:ascii="Arial Narrow" w:hAnsi="Arial Narrow" w:cs="Arial"/>
                <w:sz w:val="24"/>
                <w:szCs w:val="24"/>
              </w:rPr>
              <w:t>De acuerdo a la información suministrada por la Oficina Asesora Jurídica la Superintendencia del Subsidio Familiar</w:t>
            </w:r>
            <w:r w:rsidR="00FC7793">
              <w:rPr>
                <w:rFonts w:ascii="Arial Narrow" w:hAnsi="Arial Narrow" w:cs="Arial"/>
                <w:sz w:val="24"/>
                <w:szCs w:val="24"/>
              </w:rPr>
              <w:t xml:space="preserve"> presenta veintic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>uatro (24</w:t>
            </w:r>
            <w:r w:rsidR="00FC7793" w:rsidRPr="00907808">
              <w:rPr>
                <w:rFonts w:ascii="Arial Narrow" w:hAnsi="Arial Narrow" w:cs="Arial"/>
                <w:sz w:val="24"/>
                <w:szCs w:val="24"/>
              </w:rPr>
              <w:t>) procesos contenciosos</w:t>
            </w:r>
            <w:r w:rsidR="00FC7793">
              <w:rPr>
                <w:rFonts w:ascii="Arial Narrow" w:hAnsi="Arial Narrow" w:cs="Arial"/>
                <w:sz w:val="24"/>
                <w:szCs w:val="24"/>
              </w:rPr>
              <w:t xml:space="preserve"> al cierre del primer semestre de 2016</w:t>
            </w:r>
            <w:r w:rsidR="0094142E" w:rsidRPr="00080B53">
              <w:rPr>
                <w:rFonts w:ascii="Arial Narrow" w:hAnsi="Arial Narrow" w:cs="Arial"/>
                <w:sz w:val="24"/>
                <w:szCs w:val="24"/>
              </w:rPr>
              <w:t>, se encuentran regis</w:t>
            </w:r>
            <w:r w:rsidR="00FC7793">
              <w:rPr>
                <w:rFonts w:ascii="Arial Narrow" w:hAnsi="Arial Narrow" w:cs="Arial"/>
                <w:sz w:val="24"/>
                <w:szCs w:val="24"/>
              </w:rPr>
              <w:t xml:space="preserve">trados en el aplicativo eKogui </w:t>
            </w:r>
            <w:r w:rsidR="0094142E" w:rsidRPr="00080B53">
              <w:rPr>
                <w:rFonts w:ascii="Arial Narrow" w:hAnsi="Arial Narrow" w:cs="Arial"/>
                <w:sz w:val="24"/>
                <w:szCs w:val="24"/>
              </w:rPr>
              <w:t>que representa el 100% de los que deben ser radicados en el Sistema.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521BC">
              <w:rPr>
                <w:rFonts w:ascii="Arial Narrow" w:hAnsi="Arial Narrow" w:cs="Arial"/>
                <w:sz w:val="24"/>
                <w:szCs w:val="24"/>
              </w:rPr>
              <w:t xml:space="preserve">A continuación se presenta un resumen de los procesos </w:t>
            </w:r>
            <w:r w:rsidR="007B4B43">
              <w:rPr>
                <w:rFonts w:ascii="Arial Narrow" w:hAnsi="Arial Narrow" w:cs="Arial"/>
                <w:sz w:val="24"/>
                <w:szCs w:val="24"/>
              </w:rPr>
              <w:t>por despacho judicial: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1"/>
              <w:gridCol w:w="1384"/>
            </w:tblGrid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A548AF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Despachos Judiciales</w:t>
                  </w:r>
                </w:p>
              </w:tc>
              <w:tc>
                <w:tcPr>
                  <w:tcW w:w="1384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A548AF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Número de Procesos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193C3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Consejo d</w:t>
                  </w:r>
                  <w:r w:rsidRPr="00A548AF"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e Estado</w:t>
                  </w:r>
                </w:p>
              </w:tc>
              <w:tc>
                <w:tcPr>
                  <w:tcW w:w="1384" w:type="dxa"/>
                </w:tcPr>
                <w:p w:rsidR="0094142E" w:rsidRPr="00193C3F" w:rsidRDefault="00DB0DE1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9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Tribunal Administrativo d</w:t>
                  </w:r>
                  <w:r w:rsidRPr="00A548AF"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e Cundinamarca</w:t>
                  </w:r>
                </w:p>
              </w:tc>
              <w:tc>
                <w:tcPr>
                  <w:tcW w:w="1384" w:type="dxa"/>
                </w:tcPr>
                <w:p w:rsidR="0094142E" w:rsidRPr="00193C3F" w:rsidRDefault="00DB0DE1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Administrativos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Bogotá</w:t>
                  </w:r>
                </w:p>
              </w:tc>
              <w:tc>
                <w:tcPr>
                  <w:tcW w:w="1384" w:type="dxa"/>
                </w:tcPr>
                <w:p w:rsidR="0094142E" w:rsidRPr="00193C3F" w:rsidRDefault="00E31303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y Tribunales fuera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Bogotá</w:t>
                  </w:r>
                </w:p>
              </w:tc>
              <w:tc>
                <w:tcPr>
                  <w:tcW w:w="1384" w:type="dxa"/>
                </w:tcPr>
                <w:p w:rsidR="0094142E" w:rsidRPr="00193C3F" w:rsidRDefault="00DB0DE1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p w:rsidR="0094142E" w:rsidRDefault="00FC7793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94142E" w:rsidRPr="00907808">
              <w:rPr>
                <w:rFonts w:ascii="Arial Narrow" w:hAnsi="Arial Narrow" w:cs="Arial"/>
                <w:sz w:val="24"/>
                <w:szCs w:val="24"/>
              </w:rPr>
              <w:t>e discrim</w:t>
            </w:r>
            <w:r w:rsidR="0094142E">
              <w:rPr>
                <w:rFonts w:ascii="Arial Narrow" w:hAnsi="Arial Narrow" w:cs="Arial"/>
                <w:sz w:val="24"/>
                <w:szCs w:val="24"/>
              </w:rPr>
              <w:t xml:space="preserve">inan por medio de control así: 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5"/>
              <w:gridCol w:w="1439"/>
            </w:tblGrid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Pr="00907808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Medio de Control</w:t>
                  </w:r>
                </w:p>
              </w:tc>
              <w:tc>
                <w:tcPr>
                  <w:tcW w:w="1439" w:type="dxa"/>
                </w:tcPr>
                <w:p w:rsidR="0094142E" w:rsidRPr="00907808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Cantidad</w:t>
                  </w:r>
                </w:p>
              </w:tc>
            </w:tr>
            <w:tr w:rsidR="0094142E" w:rsidTr="0019575F">
              <w:trPr>
                <w:trHeight w:val="242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 y Restablecimiento del Derecho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E31303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13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94142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Reparación Directa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A2243B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Acción Popular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876F8D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Acción de Grupo 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876F8D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Acción de repetición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94142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E3C82" w:rsidRDefault="00DE3C82" w:rsidP="00DE3C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0A38B9" w:rsidRPr="00080B53" w:rsidRDefault="000A38B9" w:rsidP="00DE3C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2218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las solicitudes de conciliación allegadas a la entidad en el periodo de estudio están radicadas en el sistema: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>Se identificó que el 100% de las solicitudes de conciliación allegadas en el período revisado se encuentran registradas en el sistema, se verificó con la información remitida por la Oficina Asesora Jurídica.</w:t>
            </w:r>
          </w:p>
          <w:p w:rsidR="000A38B9" w:rsidRDefault="000A38B9" w:rsidP="000A38B9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before="240" w:after="0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0A38B9" w:rsidRPr="00080B53" w:rsidRDefault="000A38B9" w:rsidP="00DE3C82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2218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los procesos que se terminaron, tienen registrado en el sistema el sentido del fallo (Favorable/Desfavorable):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Se revisó el registro del sentido de fallo de los </w:t>
            </w:r>
            <w:r w:rsidR="008D33FB">
              <w:rPr>
                <w:rFonts w:ascii="Arial Narrow" w:hAnsi="Arial Narrow" w:cs="Arial"/>
                <w:sz w:val="24"/>
                <w:szCs w:val="24"/>
              </w:rPr>
              <w:t>dos (2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>) procesos terminados en el semestre, encontrando que el 100% tiene correctamente diligenciado el sentido del fallo</w:t>
            </w:r>
            <w:r w:rsidR="008D33FB">
              <w:rPr>
                <w:rFonts w:ascii="Arial Narrow" w:hAnsi="Arial Narrow" w:cs="Arial"/>
                <w:sz w:val="24"/>
                <w:szCs w:val="24"/>
              </w:rPr>
              <w:t>, los dos (2) fueron favorables.</w:t>
            </w:r>
          </w:p>
          <w:p w:rsidR="00DE3C82" w:rsidRDefault="00DE3C82" w:rsidP="00DE3C8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0A38B9" w:rsidRDefault="000A38B9" w:rsidP="00E313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las solicitudes de conciliación analizadas por la entidad, tienen registrado en el sistema si procedió la conciliación o no: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751F23" w:rsidRPr="00426C82">
              <w:rPr>
                <w:rFonts w:ascii="Arial Narrow" w:hAnsi="Arial Narrow" w:cs="Arial"/>
                <w:sz w:val="24"/>
                <w:szCs w:val="24"/>
              </w:rPr>
              <w:t xml:space="preserve">a Oficina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Asesora Jurídica</w:t>
            </w:r>
            <w:r w:rsidR="00751F23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 w:rsidRPr="00751F23">
              <w:rPr>
                <w:rFonts w:ascii="Arial Narrow" w:hAnsi="Arial Narrow" w:cs="Arial"/>
                <w:sz w:val="24"/>
                <w:szCs w:val="24"/>
              </w:rPr>
              <w:t>suministró</w:t>
            </w:r>
            <w:r w:rsidR="00751F23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426C82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r w:rsidR="00426C82" w:rsidRPr="00426C82">
              <w:rPr>
                <w:rFonts w:ascii="Arial Narrow" w:hAnsi="Arial Narrow" w:cs="Arial"/>
                <w:sz w:val="24"/>
                <w:szCs w:val="24"/>
              </w:rPr>
              <w:t xml:space="preserve">relación de Conciliaciones extrajudiciales efectuadas durante el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período revisado,</w:t>
            </w:r>
            <w:r w:rsidR="00426C8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26C82">
              <w:rPr>
                <w:rFonts w:ascii="Arial Narrow" w:hAnsi="Arial Narrow" w:cs="Arial"/>
                <w:sz w:val="24"/>
                <w:szCs w:val="24"/>
              </w:rPr>
              <w:lastRenderedPageBreak/>
              <w:t>observándose que se</w:t>
            </w:r>
            <w:r w:rsidR="00380D04">
              <w:rPr>
                <w:rFonts w:ascii="Arial Narrow" w:hAnsi="Arial Narrow" w:cs="Arial"/>
                <w:sz w:val="24"/>
                <w:szCs w:val="24"/>
              </w:rPr>
              <w:t xml:space="preserve"> encuentran registradas.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 xml:space="preserve"> Por otra parte, la Oficina Asesora Jurídica informó que e</w:t>
            </w:r>
            <w:r w:rsidR="00E31303" w:rsidRPr="00E31303">
              <w:rPr>
                <w:rFonts w:ascii="Arial Narrow" w:hAnsi="Arial Narrow" w:cs="Arial"/>
                <w:sz w:val="24"/>
                <w:szCs w:val="24"/>
              </w:rPr>
              <w:t>xisten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 xml:space="preserve"> tres</w:t>
            </w:r>
            <w:r w:rsidR="00E31303" w:rsidRPr="00E3130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E31303" w:rsidRPr="00E31303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E31303" w:rsidRPr="00E31303">
              <w:rPr>
                <w:rFonts w:ascii="Arial Narrow" w:hAnsi="Arial Narrow" w:cs="Arial"/>
                <w:sz w:val="24"/>
                <w:szCs w:val="24"/>
              </w:rPr>
              <w:t xml:space="preserve"> solicitudes de conciliación, las cuales si bien aparecen registrada en Ekogui, nunca 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>se convocó a la entidad. Sobre esto consultaron en</w:t>
            </w:r>
            <w:r w:rsidR="00E31303" w:rsidRPr="00E31303">
              <w:rPr>
                <w:rFonts w:ascii="Arial Narrow" w:hAnsi="Arial Narrow" w:cs="Arial"/>
                <w:sz w:val="24"/>
                <w:szCs w:val="24"/>
              </w:rPr>
              <w:t xml:space="preserve"> la 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>ANDJE</w:t>
            </w:r>
            <w:r w:rsidR="00E31303" w:rsidRPr="00E31303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>sugiriendo</w:t>
            </w:r>
            <w:r w:rsidR="00E31303" w:rsidRPr="00E31303">
              <w:rPr>
                <w:rFonts w:ascii="Arial Narrow" w:hAnsi="Arial Narrow" w:cs="Arial"/>
                <w:sz w:val="24"/>
                <w:szCs w:val="24"/>
              </w:rPr>
              <w:t xml:space="preserve"> que hay que solicitar a soporte 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 xml:space="preserve">para que </w:t>
            </w:r>
            <w:r w:rsidR="00E31303" w:rsidRPr="00E31303">
              <w:rPr>
                <w:rFonts w:ascii="Arial Narrow" w:hAnsi="Arial Narrow" w:cs="Arial"/>
                <w:sz w:val="24"/>
                <w:szCs w:val="24"/>
              </w:rPr>
              <w:t>le den de baja.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E31303" w:rsidRPr="00E31303" w:rsidRDefault="00E31303" w:rsidP="00E313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</w:pPr>
          </w:p>
          <w:p w:rsidR="000A38B9" w:rsidRPr="000A38B9" w:rsidRDefault="000A38B9" w:rsidP="00DE3C8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los procesos registrados en el sistema tengan provisión contable: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Pr="000A38B9">
              <w:rPr>
                <w:rFonts w:ascii="Arial Narrow" w:hAnsi="Arial Narrow" w:cs="Arial"/>
                <w:sz w:val="24"/>
                <w:szCs w:val="24"/>
              </w:rPr>
              <w:t>De acuerdo al reporte arrojado por el sistema eKogui de los Procesos Judiciales, se encuentra que  se ha asignado la provisión contable al 100% de los procesos en los cuales interviene o se encuentra vinculada la entidad.</w:t>
            </w:r>
          </w:p>
          <w:p w:rsidR="000A38B9" w:rsidRPr="000A38B9" w:rsidRDefault="000A38B9" w:rsidP="000A38B9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after="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0A38B9" w:rsidRDefault="000A38B9" w:rsidP="000A38B9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los procesos registrados en el sistema tengan calificación del riesgo: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1525C7" w:rsidRPr="001525C7">
              <w:rPr>
                <w:rFonts w:ascii="Arial Narrow" w:hAnsi="Arial Narrow" w:cs="Arial"/>
                <w:sz w:val="24"/>
                <w:szCs w:val="24"/>
              </w:rPr>
              <w:t>Se observó que todos los procesos registrados radicados en el sistema dentro del periodo a certificar cuentan con la calificación de riesgo.</w:t>
            </w:r>
          </w:p>
          <w:p w:rsidR="001525C7" w:rsidRDefault="001525C7" w:rsidP="000A38B9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38B9" w:rsidRPr="000A38B9" w:rsidRDefault="000A38B9" w:rsidP="00DE3C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 xml:space="preserve">Para la calificación del riesgo </w:t>
            </w:r>
            <w:r w:rsidR="00024FBD">
              <w:rPr>
                <w:rFonts w:ascii="Arial Narrow" w:hAnsi="Arial Narrow"/>
                <w:sz w:val="24"/>
                <w:szCs w:val="24"/>
              </w:rPr>
              <w:t xml:space="preserve">y provisión contable la Entidad, 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se </w:t>
            </w:r>
            <w:r w:rsidR="005502F7">
              <w:rPr>
                <w:rFonts w:ascii="Arial Narrow" w:hAnsi="Arial Narrow"/>
                <w:sz w:val="24"/>
                <w:szCs w:val="24"/>
              </w:rPr>
              <w:t>informó por parte de la Oficina Asesora Jurídica que se está adelantando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la</w:t>
            </w:r>
            <w:r w:rsidR="005502F7">
              <w:rPr>
                <w:rFonts w:ascii="Arial Narrow" w:hAnsi="Arial Narrow"/>
                <w:sz w:val="24"/>
                <w:szCs w:val="24"/>
              </w:rPr>
              <w:t xml:space="preserve"> modificación de La Resolución No.</w:t>
            </w:r>
            <w:r w:rsidR="006B27EF">
              <w:rPr>
                <w:rFonts w:ascii="Arial Narrow" w:hAnsi="Arial Narrow"/>
                <w:sz w:val="24"/>
                <w:szCs w:val="24"/>
              </w:rPr>
              <w:t>0</w:t>
            </w:r>
            <w:r w:rsidR="005502F7">
              <w:rPr>
                <w:rFonts w:ascii="Arial Narrow" w:hAnsi="Arial Narrow"/>
                <w:sz w:val="24"/>
                <w:szCs w:val="24"/>
              </w:rPr>
              <w:t>104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del </w:t>
            </w:r>
            <w:r w:rsidR="005502F7">
              <w:rPr>
                <w:rFonts w:ascii="Arial Narrow" w:hAnsi="Arial Narrow"/>
                <w:sz w:val="24"/>
                <w:szCs w:val="24"/>
              </w:rPr>
              <w:t>13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="005502F7">
              <w:rPr>
                <w:rFonts w:ascii="Arial Narrow" w:hAnsi="Arial Narrow"/>
                <w:sz w:val="24"/>
                <w:szCs w:val="24"/>
              </w:rPr>
              <w:t>Marzo de 2012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, expedida por la Superintendencia </w:t>
            </w:r>
            <w:r w:rsidR="005502F7">
              <w:rPr>
                <w:rFonts w:ascii="Arial Narrow" w:hAnsi="Arial Narrow"/>
                <w:sz w:val="24"/>
                <w:szCs w:val="24"/>
              </w:rPr>
              <w:t>del Subsidio Familiar.</w:t>
            </w:r>
          </w:p>
          <w:p w:rsidR="000A38B9" w:rsidRPr="000A38B9" w:rsidRDefault="000A38B9" w:rsidP="000A38B9">
            <w:pPr>
              <w:autoSpaceDE w:val="0"/>
              <w:autoSpaceDN w:val="0"/>
              <w:adjustRightInd w:val="0"/>
              <w:spacing w:before="240" w:after="0"/>
              <w:contextualSpacing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A4D79" w:rsidRPr="00CF1A95" w:rsidRDefault="000A38B9" w:rsidP="00CF1A9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Verificar que el 100% de los casos estudiados en sede del comité de conciliación tengan sus fichas registradas en el sistema: </w:t>
            </w:r>
            <w:r w:rsidR="00FA1D44" w:rsidRPr="00FA1D44">
              <w:rPr>
                <w:rFonts w:ascii="Arial Narrow" w:hAnsi="Arial Narrow" w:cs="Arial"/>
                <w:sz w:val="24"/>
                <w:szCs w:val="24"/>
              </w:rPr>
              <w:t>No se observaron la</w:t>
            </w:r>
            <w:r w:rsidR="00426B2C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FA1D44" w:rsidRPr="00FA1D44">
              <w:rPr>
                <w:rFonts w:ascii="Arial Narrow" w:hAnsi="Arial Narrow" w:cs="Arial"/>
                <w:sz w:val="24"/>
                <w:szCs w:val="24"/>
              </w:rPr>
              <w:t xml:space="preserve"> fichas del comité de conciliación radicadas en el sistema</w:t>
            </w:r>
            <w:r w:rsidR="00FA1D44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426B2C">
              <w:rPr>
                <w:rFonts w:ascii="Arial Narrow" w:hAnsi="Arial Narrow" w:cs="Arial"/>
                <w:sz w:val="24"/>
                <w:szCs w:val="24"/>
              </w:rPr>
              <w:t xml:space="preserve"> La </w:t>
            </w:r>
            <w:r w:rsidR="00CF1A95">
              <w:rPr>
                <w:rFonts w:ascii="Arial Narrow" w:hAnsi="Arial Narrow" w:cs="Arial"/>
                <w:sz w:val="24"/>
                <w:szCs w:val="24"/>
              </w:rPr>
              <w:t>Oficina Asesora Jurídica informó</w:t>
            </w:r>
            <w:r w:rsidR="00426B2C">
              <w:rPr>
                <w:rFonts w:ascii="Arial Narrow" w:hAnsi="Arial Narrow" w:cs="Arial"/>
                <w:sz w:val="24"/>
                <w:szCs w:val="24"/>
              </w:rPr>
              <w:t xml:space="preserve"> que solicitará capacitación para el cargue de las mismas.</w:t>
            </w:r>
          </w:p>
        </w:tc>
      </w:tr>
    </w:tbl>
    <w:p w:rsidR="00876F53" w:rsidRDefault="00876F53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543E3" w:rsidRDefault="00AC4045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C4045">
        <w:rPr>
          <w:rFonts w:ascii="Arial Narrow" w:hAnsi="Arial Narrow" w:cs="Arial"/>
          <w:sz w:val="24"/>
          <w:szCs w:val="24"/>
        </w:rPr>
        <w:t>La siguiente es la calificación en la escala propuesta:</w:t>
      </w:r>
    </w:p>
    <w:p w:rsidR="00AC4045" w:rsidRDefault="00AC4045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24"/>
        <w:gridCol w:w="506"/>
        <w:gridCol w:w="506"/>
        <w:gridCol w:w="506"/>
        <w:gridCol w:w="506"/>
        <w:gridCol w:w="646"/>
      </w:tblGrid>
      <w:tr w:rsidR="00B90A64" w:rsidTr="00B90A64">
        <w:trPr>
          <w:cantSplit/>
          <w:trHeight w:val="1462"/>
          <w:jc w:val="center"/>
        </w:trPr>
        <w:tc>
          <w:tcPr>
            <w:tcW w:w="6124" w:type="dxa"/>
            <w:vAlign w:val="center"/>
          </w:tcPr>
          <w:p w:rsidR="00AC4045" w:rsidRPr="00B50623" w:rsidRDefault="00B50623" w:rsidP="00B90A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ENUNCIADO</w:t>
            </w:r>
          </w:p>
        </w:tc>
        <w:tc>
          <w:tcPr>
            <w:tcW w:w="506" w:type="dxa"/>
            <w:textDirection w:val="btLr"/>
          </w:tcPr>
          <w:p w:rsidR="00AC4045" w:rsidRPr="00B50623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0 %  - </w:t>
            </w:r>
            <w:r w:rsidRPr="00B50623">
              <w:rPr>
                <w:rFonts w:ascii="Arial Narrow" w:hAnsi="Arial Narrow" w:cs="Arial"/>
                <w:sz w:val="24"/>
                <w:szCs w:val="24"/>
              </w:rPr>
              <w:t xml:space="preserve"> 20 %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21% - 40 %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41 % - 60 %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61 % - 80 %</w:t>
            </w:r>
          </w:p>
        </w:tc>
        <w:tc>
          <w:tcPr>
            <w:tcW w:w="64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81 % - 100 %</w:t>
            </w:r>
          </w:p>
        </w:tc>
      </w:tr>
      <w:tr w:rsidR="00B90A64" w:rsidTr="000A38B9">
        <w:trPr>
          <w:trHeight w:val="242"/>
          <w:jc w:val="center"/>
        </w:trPr>
        <w:tc>
          <w:tcPr>
            <w:tcW w:w="6124" w:type="dxa"/>
          </w:tcPr>
          <w:p w:rsidR="00AC4045" w:rsidRDefault="00AF056A" w:rsidP="00AF056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del administrador de la Entidad contenidas en el decreto 1069 de 2015 se cumplen a cabalidad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C4045" w:rsidRDefault="000A38B9" w:rsidP="000A38B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B90A64" w:rsidTr="000A38B9">
        <w:trPr>
          <w:trHeight w:val="242"/>
          <w:jc w:val="center"/>
        </w:trPr>
        <w:tc>
          <w:tcPr>
            <w:tcW w:w="6124" w:type="dxa"/>
          </w:tcPr>
          <w:p w:rsidR="00AC4045" w:rsidRDefault="00AF056A" w:rsidP="00AF056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 los Abogados de la entidad contenidas en el Decreto 1069 de 2015, se cumplen a cabalidad permitiendo con ello cumplir con los objetivos propuestos para el Sistema Único de Gestión e Información Litigiosa del Estado citados en el numeral 3.2. del presente instructivo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C4045" w:rsidRDefault="000A38B9" w:rsidP="000A38B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AC4045" w:rsidTr="00B90A64">
        <w:trPr>
          <w:trHeight w:val="242"/>
          <w:jc w:val="center"/>
        </w:trPr>
        <w:tc>
          <w:tcPr>
            <w:tcW w:w="8793" w:type="dxa"/>
            <w:gridSpan w:val="6"/>
          </w:tcPr>
          <w:p w:rsidR="00AC4045" w:rsidRPr="00846F15" w:rsidRDefault="00AF056A" w:rsidP="00927B7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  <w:r w:rsidRPr="00846F15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Observaciones y opciones de mejora </w:t>
            </w:r>
          </w:p>
          <w:p w:rsidR="00846F15" w:rsidRDefault="00846F15" w:rsidP="00846F15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BA9" w:rsidRDefault="00846F15" w:rsidP="006D217E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46F15">
              <w:rPr>
                <w:rFonts w:ascii="Arial Narrow" w:hAnsi="Arial Narrow" w:cs="Arial"/>
                <w:sz w:val="24"/>
                <w:szCs w:val="24"/>
              </w:rPr>
              <w:t>Efectuada la verificación, la oficina de control Interno informa que la SSF ha cumplido con el registro de los procesos activos (judiciales y conciliaciones), la actualización de la información litigiosa, sentido del fallo en procesos terminados y el registro de los movimientos procesales. Sin embargo, se</w:t>
            </w:r>
            <w:r w:rsidR="00DD3BA9">
              <w:rPr>
                <w:rFonts w:ascii="Arial Narrow" w:hAnsi="Arial Narrow" w:cs="Arial"/>
                <w:sz w:val="24"/>
                <w:szCs w:val="24"/>
              </w:rPr>
              <w:t xml:space="preserve"> sigue</w:t>
            </w: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 observa</w:t>
            </w:r>
            <w:r w:rsidR="00DD3BA9">
              <w:rPr>
                <w:rFonts w:ascii="Arial Narrow" w:hAnsi="Arial Narrow" w:cs="Arial"/>
                <w:sz w:val="24"/>
                <w:szCs w:val="24"/>
              </w:rPr>
              <w:t>ndo</w:t>
            </w: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 que se encuentra pendiente el cargue de las fichas técnicas del comité de conciliación</w:t>
            </w:r>
            <w:r w:rsidR="00DD3BA9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7F1C58" w:rsidRPr="007F1C5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8370D">
              <w:rPr>
                <w:rFonts w:ascii="Arial Narrow" w:hAnsi="Arial Narrow" w:cs="Arial"/>
                <w:sz w:val="24"/>
                <w:szCs w:val="24"/>
              </w:rPr>
              <w:t>razón por la cual se informó</w:t>
            </w:r>
            <w:r w:rsidR="00DD3BA9" w:rsidRPr="00DD3BA9">
              <w:rPr>
                <w:rFonts w:ascii="Arial Narrow" w:hAnsi="Arial Narrow" w:cs="Arial"/>
                <w:sz w:val="24"/>
                <w:szCs w:val="24"/>
              </w:rPr>
              <w:t xml:space="preserve"> a la Oficina Asesora Jurídica</w:t>
            </w:r>
            <w:r w:rsidR="00DD3BA9">
              <w:rPr>
                <w:rFonts w:ascii="Arial Narrow" w:hAnsi="Arial Narrow" w:cs="Arial"/>
                <w:sz w:val="24"/>
                <w:szCs w:val="24"/>
              </w:rPr>
              <w:t xml:space="preserve"> para que adelante</w:t>
            </w:r>
            <w:r w:rsidR="00DD3BA9" w:rsidRPr="00DD3BA9">
              <w:rPr>
                <w:rFonts w:ascii="Arial Narrow" w:hAnsi="Arial Narrow" w:cs="Arial"/>
                <w:sz w:val="24"/>
                <w:szCs w:val="24"/>
              </w:rPr>
              <w:t xml:space="preserve"> las acciones pertinentes</w:t>
            </w:r>
            <w:r w:rsidR="006D217E">
              <w:rPr>
                <w:rFonts w:ascii="Arial Narrow" w:hAnsi="Arial Narrow" w:cs="Arial"/>
                <w:sz w:val="24"/>
                <w:szCs w:val="24"/>
              </w:rPr>
              <w:t xml:space="preserve"> y a su vez contestaron que se hará solicitud formal de </w:t>
            </w:r>
            <w:r w:rsidR="006D217E" w:rsidRPr="006D217E">
              <w:rPr>
                <w:rFonts w:ascii="Arial Narrow" w:hAnsi="Arial Narrow" w:cs="Arial"/>
                <w:sz w:val="24"/>
                <w:szCs w:val="24"/>
              </w:rPr>
              <w:t>capacitación para el cargue de las mismas.</w:t>
            </w:r>
          </w:p>
        </w:tc>
      </w:tr>
    </w:tbl>
    <w:p w:rsidR="00A548AF" w:rsidRPr="00C521BC" w:rsidRDefault="007F7102" w:rsidP="0032218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1525C7" w:rsidRDefault="001525C7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525C7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Cordialmente, </w:t>
      </w:r>
      <w:bookmarkStart w:id="0" w:name="_GoBack"/>
      <w:bookmarkEnd w:id="0"/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Pr="00080B53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27B76" w:rsidRPr="00080B53" w:rsidRDefault="001B1952" w:rsidP="00927B7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JOSÉ</w:t>
      </w:r>
      <w:r w:rsidR="00927B76" w:rsidRPr="00080B53">
        <w:rPr>
          <w:rFonts w:ascii="Arial Narrow" w:hAnsi="Arial Narrow" w:cs="Arial"/>
          <w:b/>
          <w:sz w:val="24"/>
          <w:szCs w:val="24"/>
        </w:rPr>
        <w:t xml:space="preserve"> WILLIAM CASALLAS FANDIÑO</w:t>
      </w:r>
    </w:p>
    <w:p w:rsidR="00A400B6" w:rsidRPr="00A400B6" w:rsidRDefault="00927B76" w:rsidP="00024FB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Jefe Oficina de Control Interno</w:t>
      </w:r>
    </w:p>
    <w:p w:rsidR="00A400B6" w:rsidRDefault="00426B2C" w:rsidP="00166E37">
      <w:pPr>
        <w:shd w:val="clear" w:color="auto" w:fill="FFFFFF"/>
        <w:spacing w:after="0" w:line="240" w:lineRule="auto"/>
        <w:ind w:right="-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sectPr w:rsidR="00A400B6" w:rsidSect="005B44CD">
      <w:headerReference w:type="default" r:id="rId9"/>
      <w:footerReference w:type="default" r:id="rId10"/>
      <w:pgSz w:w="12240" w:h="18720" w:code="14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DF" w:rsidRDefault="006814DF" w:rsidP="006B0C0A">
      <w:pPr>
        <w:spacing w:after="0" w:line="240" w:lineRule="auto"/>
      </w:pPr>
      <w:r>
        <w:separator/>
      </w:r>
    </w:p>
  </w:endnote>
  <w:endnote w:type="continuationSeparator" w:id="0">
    <w:p w:rsidR="006814DF" w:rsidRDefault="006814DF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FA" w:rsidRDefault="00515BFA" w:rsidP="005B44CD">
    <w:pPr>
      <w:spacing w:after="0" w:line="240" w:lineRule="auto"/>
      <w:jc w:val="right"/>
      <w:rPr>
        <w:sz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732C2F" wp14:editId="5A72BF1F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BFA" w:rsidRPr="0011629D" w:rsidRDefault="00515BFA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045577D5" wp14:editId="5DE2D090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eastAsia="es-ES"/>
                            </w:rPr>
                            <w:drawing>
                              <wp:inline distT="0" distB="0" distL="0" distR="0" wp14:anchorId="61680844" wp14:editId="6F11FE61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15BFA" w:rsidRPr="0011629D" w:rsidRDefault="00515BFA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045577D5" wp14:editId="5DE2D090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eastAsia="es-ES"/>
                      </w:rPr>
                      <w:drawing>
                        <wp:inline distT="0" distB="0" distL="0" distR="0" wp14:anchorId="61680844" wp14:editId="6F11FE61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15BFA" w:rsidRDefault="00515BFA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eastAsia="es-ES"/>
      </w:rPr>
      <w:drawing>
        <wp:inline distT="0" distB="0" distL="0" distR="0" wp14:anchorId="7F1ADD01" wp14:editId="449D59E9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BFA" w:rsidRPr="004933ED" w:rsidRDefault="00515BFA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DF" w:rsidRDefault="006814DF" w:rsidP="006B0C0A">
      <w:pPr>
        <w:spacing w:after="0" w:line="240" w:lineRule="auto"/>
      </w:pPr>
      <w:r>
        <w:separator/>
      </w:r>
    </w:p>
  </w:footnote>
  <w:footnote w:type="continuationSeparator" w:id="0">
    <w:p w:rsidR="006814DF" w:rsidRDefault="006814DF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FA" w:rsidRDefault="00515BFA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EEBA1B" wp14:editId="01665509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180DED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</w:rPr>
      <w:drawing>
        <wp:inline distT="0" distB="0" distL="0" distR="0" wp14:anchorId="4DD8E8B9" wp14:editId="1564F2BA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                           </w:t>
    </w:r>
    <w:r w:rsidRPr="0011629D">
      <w:rPr>
        <w:noProof/>
      </w:rPr>
      <w:drawing>
        <wp:inline distT="0" distB="0" distL="0" distR="0" wp14:anchorId="5CC08FA0" wp14:editId="6252E6F5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</w:t>
    </w:r>
    <w:r>
      <w:rPr>
        <w:noProof/>
        <w:lang w:val="es-CO" w:eastAsia="es-CO"/>
      </w:rPr>
      <w:t xml:space="preserve"> </w:t>
    </w:r>
    <w:r>
      <w:t xml:space="preserve">              </w:t>
    </w:r>
    <w:r>
      <w:rPr>
        <w:noProof/>
      </w:rPr>
      <w:t xml:space="preserve">                                                                                          </w:t>
    </w:r>
  </w:p>
  <w:p w:rsidR="00515BFA" w:rsidRDefault="00515BFA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69"/>
    <w:multiLevelType w:val="hybridMultilevel"/>
    <w:tmpl w:val="E208DF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13C2"/>
    <w:multiLevelType w:val="hybridMultilevel"/>
    <w:tmpl w:val="F18E7A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D60A2"/>
    <w:multiLevelType w:val="hybridMultilevel"/>
    <w:tmpl w:val="00D65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7BDF"/>
    <w:multiLevelType w:val="hybridMultilevel"/>
    <w:tmpl w:val="4AC4A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112EE"/>
    <w:multiLevelType w:val="hybridMultilevel"/>
    <w:tmpl w:val="8E5E494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565110C"/>
    <w:multiLevelType w:val="hybridMultilevel"/>
    <w:tmpl w:val="CA8C1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87CFB"/>
    <w:multiLevelType w:val="multilevel"/>
    <w:tmpl w:val="EFC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215CE"/>
    <w:multiLevelType w:val="hybridMultilevel"/>
    <w:tmpl w:val="5240CA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35CE6"/>
    <w:multiLevelType w:val="hybridMultilevel"/>
    <w:tmpl w:val="E9760C18"/>
    <w:lvl w:ilvl="0" w:tplc="40FC5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D2941"/>
    <w:multiLevelType w:val="multilevel"/>
    <w:tmpl w:val="B648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F2A25"/>
    <w:multiLevelType w:val="hybridMultilevel"/>
    <w:tmpl w:val="0568D4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456406"/>
    <w:multiLevelType w:val="hybridMultilevel"/>
    <w:tmpl w:val="88ACD01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83E6E"/>
    <w:multiLevelType w:val="hybridMultilevel"/>
    <w:tmpl w:val="349E0172"/>
    <w:lvl w:ilvl="0" w:tplc="B570287E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D7939"/>
    <w:multiLevelType w:val="multilevel"/>
    <w:tmpl w:val="C862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F33AE"/>
    <w:multiLevelType w:val="multilevel"/>
    <w:tmpl w:val="9EF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65743"/>
    <w:multiLevelType w:val="multilevel"/>
    <w:tmpl w:val="504E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6A406721"/>
    <w:multiLevelType w:val="hybridMultilevel"/>
    <w:tmpl w:val="DDC8D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20"/>
  </w:num>
  <w:num w:numId="5">
    <w:abstractNumId w:val="2"/>
  </w:num>
  <w:num w:numId="6">
    <w:abstractNumId w:val="18"/>
  </w:num>
  <w:num w:numId="7">
    <w:abstractNumId w:val="13"/>
  </w:num>
  <w:num w:numId="8">
    <w:abstractNumId w:val="0"/>
  </w:num>
  <w:num w:numId="9">
    <w:abstractNumId w:val="8"/>
  </w:num>
  <w:num w:numId="10">
    <w:abstractNumId w:val="1"/>
  </w:num>
  <w:num w:numId="11">
    <w:abstractNumId w:val="19"/>
  </w:num>
  <w:num w:numId="12">
    <w:abstractNumId w:val="9"/>
  </w:num>
  <w:num w:numId="13">
    <w:abstractNumId w:val="6"/>
  </w:num>
  <w:num w:numId="14">
    <w:abstractNumId w:val="5"/>
  </w:num>
  <w:num w:numId="15">
    <w:abstractNumId w:val="14"/>
  </w:num>
  <w:num w:numId="16">
    <w:abstractNumId w:val="7"/>
  </w:num>
  <w:num w:numId="17">
    <w:abstractNumId w:val="12"/>
  </w:num>
  <w:num w:numId="18">
    <w:abstractNumId w:val="11"/>
  </w:num>
  <w:num w:numId="19">
    <w:abstractNumId w:val="17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7"/>
    <w:rsid w:val="00001E36"/>
    <w:rsid w:val="00012C04"/>
    <w:rsid w:val="00024FBD"/>
    <w:rsid w:val="00027DE0"/>
    <w:rsid w:val="00031993"/>
    <w:rsid w:val="00033F46"/>
    <w:rsid w:val="000453CD"/>
    <w:rsid w:val="00047669"/>
    <w:rsid w:val="00057E1D"/>
    <w:rsid w:val="000624AD"/>
    <w:rsid w:val="00080B53"/>
    <w:rsid w:val="0008177D"/>
    <w:rsid w:val="000904F5"/>
    <w:rsid w:val="000A38B9"/>
    <w:rsid w:val="000A49B4"/>
    <w:rsid w:val="000A4D79"/>
    <w:rsid w:val="000B1CC6"/>
    <w:rsid w:val="000E4644"/>
    <w:rsid w:val="000E5F10"/>
    <w:rsid w:val="000F4B2A"/>
    <w:rsid w:val="0011629D"/>
    <w:rsid w:val="00133712"/>
    <w:rsid w:val="001525C7"/>
    <w:rsid w:val="00165B99"/>
    <w:rsid w:val="00166E37"/>
    <w:rsid w:val="00170202"/>
    <w:rsid w:val="00172198"/>
    <w:rsid w:val="00174337"/>
    <w:rsid w:val="0017507D"/>
    <w:rsid w:val="001762A1"/>
    <w:rsid w:val="00182294"/>
    <w:rsid w:val="00187C22"/>
    <w:rsid w:val="00193C3F"/>
    <w:rsid w:val="0019575F"/>
    <w:rsid w:val="001B1952"/>
    <w:rsid w:val="001B55B8"/>
    <w:rsid w:val="001B691D"/>
    <w:rsid w:val="001C0AC6"/>
    <w:rsid w:val="001C6FC8"/>
    <w:rsid w:val="001D7A0E"/>
    <w:rsid w:val="001E6106"/>
    <w:rsid w:val="001F338B"/>
    <w:rsid w:val="001F39F6"/>
    <w:rsid w:val="001F61B1"/>
    <w:rsid w:val="00210505"/>
    <w:rsid w:val="00212249"/>
    <w:rsid w:val="0021344A"/>
    <w:rsid w:val="002147E8"/>
    <w:rsid w:val="0021636C"/>
    <w:rsid w:val="00227D33"/>
    <w:rsid w:val="00255BF1"/>
    <w:rsid w:val="002615AE"/>
    <w:rsid w:val="002632A3"/>
    <w:rsid w:val="0026500F"/>
    <w:rsid w:val="00267D14"/>
    <w:rsid w:val="00274180"/>
    <w:rsid w:val="00274C8B"/>
    <w:rsid w:val="00280D12"/>
    <w:rsid w:val="002B03C8"/>
    <w:rsid w:val="002C004F"/>
    <w:rsid w:val="002C07C3"/>
    <w:rsid w:val="002C3390"/>
    <w:rsid w:val="002C5FDD"/>
    <w:rsid w:val="002C6BA2"/>
    <w:rsid w:val="002C7349"/>
    <w:rsid w:val="002D7387"/>
    <w:rsid w:val="002E7678"/>
    <w:rsid w:val="0030687C"/>
    <w:rsid w:val="00320B24"/>
    <w:rsid w:val="00322189"/>
    <w:rsid w:val="00324F44"/>
    <w:rsid w:val="00333C0D"/>
    <w:rsid w:val="00336D7C"/>
    <w:rsid w:val="00340C46"/>
    <w:rsid w:val="00340E75"/>
    <w:rsid w:val="003538EE"/>
    <w:rsid w:val="0035611C"/>
    <w:rsid w:val="00372A8F"/>
    <w:rsid w:val="00374619"/>
    <w:rsid w:val="00380D04"/>
    <w:rsid w:val="00383DFF"/>
    <w:rsid w:val="003B323B"/>
    <w:rsid w:val="003B3AD7"/>
    <w:rsid w:val="003C3701"/>
    <w:rsid w:val="003C5C49"/>
    <w:rsid w:val="003D3A97"/>
    <w:rsid w:val="003F17B4"/>
    <w:rsid w:val="004030E2"/>
    <w:rsid w:val="00403CB5"/>
    <w:rsid w:val="004048A2"/>
    <w:rsid w:val="00404F7D"/>
    <w:rsid w:val="00406EAE"/>
    <w:rsid w:val="00414A19"/>
    <w:rsid w:val="0042656D"/>
    <w:rsid w:val="00426B2C"/>
    <w:rsid w:val="00426C82"/>
    <w:rsid w:val="0044655B"/>
    <w:rsid w:val="00452E71"/>
    <w:rsid w:val="00460DCE"/>
    <w:rsid w:val="0048370D"/>
    <w:rsid w:val="00483A31"/>
    <w:rsid w:val="00487CEB"/>
    <w:rsid w:val="00490CBC"/>
    <w:rsid w:val="004956F8"/>
    <w:rsid w:val="004A0529"/>
    <w:rsid w:val="004A34DA"/>
    <w:rsid w:val="004E203D"/>
    <w:rsid w:val="004E5931"/>
    <w:rsid w:val="004F2D07"/>
    <w:rsid w:val="004F6DEF"/>
    <w:rsid w:val="00506E05"/>
    <w:rsid w:val="00510292"/>
    <w:rsid w:val="005128CE"/>
    <w:rsid w:val="0051299B"/>
    <w:rsid w:val="00515BFA"/>
    <w:rsid w:val="00517FC3"/>
    <w:rsid w:val="00522537"/>
    <w:rsid w:val="00524F95"/>
    <w:rsid w:val="00543A54"/>
    <w:rsid w:val="005502F7"/>
    <w:rsid w:val="00552781"/>
    <w:rsid w:val="005543E3"/>
    <w:rsid w:val="00573BB9"/>
    <w:rsid w:val="00580872"/>
    <w:rsid w:val="00591F09"/>
    <w:rsid w:val="005A6912"/>
    <w:rsid w:val="005B3B95"/>
    <w:rsid w:val="005B44CD"/>
    <w:rsid w:val="005C63DA"/>
    <w:rsid w:val="005E168E"/>
    <w:rsid w:val="005E2D54"/>
    <w:rsid w:val="005E48A0"/>
    <w:rsid w:val="005F6FCD"/>
    <w:rsid w:val="006260A3"/>
    <w:rsid w:val="00636D6A"/>
    <w:rsid w:val="00644CEA"/>
    <w:rsid w:val="006468EF"/>
    <w:rsid w:val="0067287C"/>
    <w:rsid w:val="006740F6"/>
    <w:rsid w:val="006814DF"/>
    <w:rsid w:val="00687091"/>
    <w:rsid w:val="0069079D"/>
    <w:rsid w:val="00690D4B"/>
    <w:rsid w:val="00692D4F"/>
    <w:rsid w:val="006A6938"/>
    <w:rsid w:val="006B0C0A"/>
    <w:rsid w:val="006B27EF"/>
    <w:rsid w:val="006B50FF"/>
    <w:rsid w:val="006C6F52"/>
    <w:rsid w:val="006D217E"/>
    <w:rsid w:val="006E19B6"/>
    <w:rsid w:val="006E6463"/>
    <w:rsid w:val="007208CA"/>
    <w:rsid w:val="00733693"/>
    <w:rsid w:val="00736976"/>
    <w:rsid w:val="00751F23"/>
    <w:rsid w:val="00755D5C"/>
    <w:rsid w:val="007701E7"/>
    <w:rsid w:val="00773DB4"/>
    <w:rsid w:val="007B4B43"/>
    <w:rsid w:val="007C02BE"/>
    <w:rsid w:val="007C1BCC"/>
    <w:rsid w:val="007D2624"/>
    <w:rsid w:val="007F1C58"/>
    <w:rsid w:val="007F1F2A"/>
    <w:rsid w:val="007F7102"/>
    <w:rsid w:val="007F72F5"/>
    <w:rsid w:val="0080424A"/>
    <w:rsid w:val="00823646"/>
    <w:rsid w:val="008246F4"/>
    <w:rsid w:val="00825E04"/>
    <w:rsid w:val="00826D6B"/>
    <w:rsid w:val="00834A3F"/>
    <w:rsid w:val="0083693A"/>
    <w:rsid w:val="00840AD6"/>
    <w:rsid w:val="00846F15"/>
    <w:rsid w:val="00850394"/>
    <w:rsid w:val="00853F17"/>
    <w:rsid w:val="00874336"/>
    <w:rsid w:val="00876F53"/>
    <w:rsid w:val="00876F8D"/>
    <w:rsid w:val="00880991"/>
    <w:rsid w:val="00881F59"/>
    <w:rsid w:val="00882D6E"/>
    <w:rsid w:val="008853C3"/>
    <w:rsid w:val="008A0972"/>
    <w:rsid w:val="008A0B61"/>
    <w:rsid w:val="008A33EC"/>
    <w:rsid w:val="008A475D"/>
    <w:rsid w:val="008B1B8C"/>
    <w:rsid w:val="008C6222"/>
    <w:rsid w:val="008D33FB"/>
    <w:rsid w:val="008D745A"/>
    <w:rsid w:val="008E03CA"/>
    <w:rsid w:val="008E2A1F"/>
    <w:rsid w:val="008E652A"/>
    <w:rsid w:val="008F5D47"/>
    <w:rsid w:val="00906BA7"/>
    <w:rsid w:val="00907808"/>
    <w:rsid w:val="00915306"/>
    <w:rsid w:val="009262E5"/>
    <w:rsid w:val="00927B76"/>
    <w:rsid w:val="00927EE7"/>
    <w:rsid w:val="0094142E"/>
    <w:rsid w:val="00941C33"/>
    <w:rsid w:val="00944AB4"/>
    <w:rsid w:val="0095528F"/>
    <w:rsid w:val="00972FD4"/>
    <w:rsid w:val="009775AA"/>
    <w:rsid w:val="00984EFC"/>
    <w:rsid w:val="009A0F83"/>
    <w:rsid w:val="009B5FCF"/>
    <w:rsid w:val="009C28B3"/>
    <w:rsid w:val="009C79EB"/>
    <w:rsid w:val="009D0D01"/>
    <w:rsid w:val="009D5022"/>
    <w:rsid w:val="009E044D"/>
    <w:rsid w:val="00A0031B"/>
    <w:rsid w:val="00A14BD4"/>
    <w:rsid w:val="00A15543"/>
    <w:rsid w:val="00A206E7"/>
    <w:rsid w:val="00A2243B"/>
    <w:rsid w:val="00A22A02"/>
    <w:rsid w:val="00A24860"/>
    <w:rsid w:val="00A3175B"/>
    <w:rsid w:val="00A400B6"/>
    <w:rsid w:val="00A51C9D"/>
    <w:rsid w:val="00A548AF"/>
    <w:rsid w:val="00A606B8"/>
    <w:rsid w:val="00A65B07"/>
    <w:rsid w:val="00A8462E"/>
    <w:rsid w:val="00A90936"/>
    <w:rsid w:val="00A95F19"/>
    <w:rsid w:val="00A977F1"/>
    <w:rsid w:val="00AB3327"/>
    <w:rsid w:val="00AC0EDF"/>
    <w:rsid w:val="00AC2C64"/>
    <w:rsid w:val="00AC4045"/>
    <w:rsid w:val="00AD5B78"/>
    <w:rsid w:val="00AE0331"/>
    <w:rsid w:val="00AE3355"/>
    <w:rsid w:val="00AF056A"/>
    <w:rsid w:val="00AF2CD0"/>
    <w:rsid w:val="00B04CAD"/>
    <w:rsid w:val="00B12EFE"/>
    <w:rsid w:val="00B17A55"/>
    <w:rsid w:val="00B23C4F"/>
    <w:rsid w:val="00B3321B"/>
    <w:rsid w:val="00B34FBA"/>
    <w:rsid w:val="00B423B6"/>
    <w:rsid w:val="00B478ED"/>
    <w:rsid w:val="00B5052C"/>
    <w:rsid w:val="00B50623"/>
    <w:rsid w:val="00B55190"/>
    <w:rsid w:val="00B75256"/>
    <w:rsid w:val="00B90A64"/>
    <w:rsid w:val="00B9271A"/>
    <w:rsid w:val="00B96B05"/>
    <w:rsid w:val="00BB7C4F"/>
    <w:rsid w:val="00BC08F8"/>
    <w:rsid w:val="00BC1A00"/>
    <w:rsid w:val="00BE067C"/>
    <w:rsid w:val="00C11CB0"/>
    <w:rsid w:val="00C11ECC"/>
    <w:rsid w:val="00C12A37"/>
    <w:rsid w:val="00C12A90"/>
    <w:rsid w:val="00C12F7D"/>
    <w:rsid w:val="00C154B6"/>
    <w:rsid w:val="00C23F46"/>
    <w:rsid w:val="00C314A3"/>
    <w:rsid w:val="00C31B89"/>
    <w:rsid w:val="00C350B9"/>
    <w:rsid w:val="00C521BC"/>
    <w:rsid w:val="00C5780D"/>
    <w:rsid w:val="00C672E2"/>
    <w:rsid w:val="00C77D1E"/>
    <w:rsid w:val="00C901AF"/>
    <w:rsid w:val="00C94B35"/>
    <w:rsid w:val="00C964B8"/>
    <w:rsid w:val="00CA2A96"/>
    <w:rsid w:val="00CA3365"/>
    <w:rsid w:val="00CA4491"/>
    <w:rsid w:val="00CB01FC"/>
    <w:rsid w:val="00CB1117"/>
    <w:rsid w:val="00CC131E"/>
    <w:rsid w:val="00CC66AA"/>
    <w:rsid w:val="00CC73CE"/>
    <w:rsid w:val="00CF1A95"/>
    <w:rsid w:val="00CF3197"/>
    <w:rsid w:val="00D03B28"/>
    <w:rsid w:val="00D05CBF"/>
    <w:rsid w:val="00D27775"/>
    <w:rsid w:val="00D328EA"/>
    <w:rsid w:val="00D41382"/>
    <w:rsid w:val="00D52BDC"/>
    <w:rsid w:val="00D56164"/>
    <w:rsid w:val="00D705A1"/>
    <w:rsid w:val="00D7130E"/>
    <w:rsid w:val="00DB0DE1"/>
    <w:rsid w:val="00DB2F35"/>
    <w:rsid w:val="00DD0A09"/>
    <w:rsid w:val="00DD3163"/>
    <w:rsid w:val="00DD3BA9"/>
    <w:rsid w:val="00DE3C82"/>
    <w:rsid w:val="00DE7EFC"/>
    <w:rsid w:val="00DF0A81"/>
    <w:rsid w:val="00DF5AA8"/>
    <w:rsid w:val="00DF690E"/>
    <w:rsid w:val="00DF7740"/>
    <w:rsid w:val="00E00ACF"/>
    <w:rsid w:val="00E06666"/>
    <w:rsid w:val="00E244CB"/>
    <w:rsid w:val="00E26403"/>
    <w:rsid w:val="00E31303"/>
    <w:rsid w:val="00E31EBA"/>
    <w:rsid w:val="00E416E5"/>
    <w:rsid w:val="00E46577"/>
    <w:rsid w:val="00E65CA0"/>
    <w:rsid w:val="00E73056"/>
    <w:rsid w:val="00E744A7"/>
    <w:rsid w:val="00EB3A5A"/>
    <w:rsid w:val="00ED00D1"/>
    <w:rsid w:val="00ED7097"/>
    <w:rsid w:val="00EE2DDC"/>
    <w:rsid w:val="00EF0030"/>
    <w:rsid w:val="00EF3353"/>
    <w:rsid w:val="00EF7A34"/>
    <w:rsid w:val="00F30437"/>
    <w:rsid w:val="00F365D6"/>
    <w:rsid w:val="00F369E0"/>
    <w:rsid w:val="00F429B8"/>
    <w:rsid w:val="00F47492"/>
    <w:rsid w:val="00F54ECA"/>
    <w:rsid w:val="00F57816"/>
    <w:rsid w:val="00F60ABC"/>
    <w:rsid w:val="00F74530"/>
    <w:rsid w:val="00F772C0"/>
    <w:rsid w:val="00F823DD"/>
    <w:rsid w:val="00F844A7"/>
    <w:rsid w:val="00F844CA"/>
    <w:rsid w:val="00F8455C"/>
    <w:rsid w:val="00FA1D44"/>
    <w:rsid w:val="00FA4D25"/>
    <w:rsid w:val="00FB2D32"/>
    <w:rsid w:val="00FC7793"/>
    <w:rsid w:val="00FD193F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3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2189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0A4D79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22189"/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3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2189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0A4D79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22189"/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4EF37-651D-4E23-AA04-34ACC279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381</TotalTime>
  <Pages>3</Pages>
  <Words>1325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Ariana Isabel Gomez Orozco</cp:lastModifiedBy>
  <cp:revision>55</cp:revision>
  <cp:lastPrinted>2014-10-07T21:24:00Z</cp:lastPrinted>
  <dcterms:created xsi:type="dcterms:W3CDTF">2016-08-30T02:28:00Z</dcterms:created>
  <dcterms:modified xsi:type="dcterms:W3CDTF">2016-08-31T15:11:00Z</dcterms:modified>
</cp:coreProperties>
</file>