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6" w:rsidRPr="00690D4B" w:rsidRDefault="00E65CA0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Informe de seguimiento al </w:t>
      </w:r>
      <w:r w:rsidRPr="00E65CA0">
        <w:rPr>
          <w:rFonts w:ascii="Arial" w:hAnsi="Arial" w:cs="Arial"/>
          <w:b/>
          <w:bCs/>
        </w:rPr>
        <w:t xml:space="preserve">Sistema Único De Gestión E Información Litigiosa Del Estado “Ekogui” </w:t>
      </w:r>
      <w:r w:rsidR="00AE0331">
        <w:rPr>
          <w:rFonts w:ascii="Arial" w:hAnsi="Arial" w:cs="Arial"/>
          <w:b/>
          <w:bCs/>
        </w:rPr>
        <w:t>–</w:t>
      </w:r>
      <w:r w:rsidR="00927B76" w:rsidRPr="00690D4B">
        <w:rPr>
          <w:rFonts w:ascii="Arial" w:hAnsi="Arial" w:cs="Arial"/>
          <w:b/>
          <w:bCs/>
        </w:rPr>
        <w:t xml:space="preserve"> </w:t>
      </w:r>
      <w:r w:rsidR="00F429B8">
        <w:rPr>
          <w:rFonts w:ascii="Arial" w:hAnsi="Arial" w:cs="Arial"/>
          <w:b/>
          <w:bCs/>
        </w:rPr>
        <w:t>Segundo</w:t>
      </w:r>
      <w:r w:rsidR="00AE0331">
        <w:rPr>
          <w:rFonts w:ascii="Arial" w:hAnsi="Arial" w:cs="Arial"/>
          <w:b/>
          <w:bCs/>
        </w:rPr>
        <w:t xml:space="preserve"> </w:t>
      </w:r>
      <w:r w:rsidR="00ED7097" w:rsidRPr="00690D4B">
        <w:rPr>
          <w:rFonts w:ascii="Arial" w:hAnsi="Arial" w:cs="Arial"/>
          <w:b/>
          <w:bCs/>
        </w:rPr>
        <w:t>(</w:t>
      </w:r>
      <w:r w:rsidR="00B23C4F">
        <w:rPr>
          <w:rFonts w:ascii="Arial" w:hAnsi="Arial" w:cs="Arial"/>
          <w:b/>
          <w:bCs/>
        </w:rPr>
        <w:t>I</w:t>
      </w:r>
      <w:r w:rsidR="00F429B8">
        <w:rPr>
          <w:rFonts w:ascii="Arial" w:hAnsi="Arial" w:cs="Arial"/>
          <w:b/>
          <w:bCs/>
        </w:rPr>
        <w:t>I</w:t>
      </w:r>
      <w:r w:rsidR="00927B76" w:rsidRPr="00690D4B">
        <w:rPr>
          <w:rFonts w:ascii="Arial" w:hAnsi="Arial" w:cs="Arial"/>
          <w:b/>
          <w:bCs/>
        </w:rPr>
        <w:t xml:space="preserve">) </w:t>
      </w:r>
      <w:r w:rsidR="00D705A1">
        <w:rPr>
          <w:rFonts w:ascii="Arial" w:hAnsi="Arial" w:cs="Arial"/>
          <w:b/>
          <w:bCs/>
        </w:rPr>
        <w:t>Semestre de</w:t>
      </w:r>
      <w:r w:rsidR="00927B76" w:rsidRPr="00690D4B">
        <w:rPr>
          <w:rFonts w:ascii="Arial" w:hAnsi="Arial" w:cs="Arial"/>
          <w:b/>
          <w:bCs/>
        </w:rPr>
        <w:t xml:space="preserve"> 201</w:t>
      </w:r>
      <w:r w:rsidR="00ED7097" w:rsidRPr="00690D4B">
        <w:rPr>
          <w:rFonts w:ascii="Arial" w:hAnsi="Arial" w:cs="Arial"/>
          <w:b/>
          <w:bCs/>
        </w:rPr>
        <w:t>5</w:t>
      </w:r>
    </w:p>
    <w:p w:rsidR="00927B76" w:rsidRDefault="00927B76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27B76" w:rsidRDefault="00927B76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27B76" w:rsidRPr="00C406A3" w:rsidRDefault="00D705A1" w:rsidP="00927B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406A3">
        <w:rPr>
          <w:rFonts w:ascii="Arial" w:hAnsi="Arial" w:cs="Arial"/>
          <w:b/>
          <w:bCs/>
          <w:u w:val="single"/>
        </w:rPr>
        <w:t>Información General</w:t>
      </w:r>
    </w:p>
    <w:p w:rsidR="00927B76" w:rsidRPr="000D4A56" w:rsidRDefault="00927B76" w:rsidP="00927B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927B76" w:rsidRPr="000D4A56" w:rsidRDefault="00D705A1" w:rsidP="00927B7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4A56">
        <w:rPr>
          <w:rFonts w:ascii="Arial" w:hAnsi="Arial" w:cs="Arial"/>
          <w:b/>
          <w:bCs/>
        </w:rPr>
        <w:t xml:space="preserve">Objetivo </w:t>
      </w:r>
    </w:p>
    <w:p w:rsidR="00927B76" w:rsidRPr="00212249" w:rsidRDefault="00927B76" w:rsidP="00927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7B76" w:rsidRPr="000D4A56" w:rsidRDefault="00212249" w:rsidP="002615AE">
      <w:pPr>
        <w:tabs>
          <w:tab w:val="left" w:pos="324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12249">
        <w:rPr>
          <w:rFonts w:ascii="Arial" w:hAnsi="Arial" w:cs="Arial"/>
        </w:rPr>
        <w:t>Efectuar el seguimiento en el sistema de informa</w:t>
      </w:r>
      <w:r w:rsidR="005C63DA">
        <w:rPr>
          <w:rFonts w:ascii="Arial" w:hAnsi="Arial" w:cs="Arial"/>
        </w:rPr>
        <w:t>ción litigiosa del estado eK</w:t>
      </w:r>
      <w:r w:rsidR="00E65CA0">
        <w:rPr>
          <w:rFonts w:ascii="Arial" w:hAnsi="Arial" w:cs="Arial"/>
        </w:rPr>
        <w:t xml:space="preserve">ogui </w:t>
      </w:r>
      <w:r w:rsidRPr="00212249">
        <w:rPr>
          <w:rFonts w:ascii="Arial" w:hAnsi="Arial" w:cs="Arial"/>
        </w:rPr>
        <w:t xml:space="preserve">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al </w:t>
      </w:r>
      <w:r w:rsidR="00F429B8">
        <w:rPr>
          <w:rFonts w:ascii="Arial" w:hAnsi="Arial" w:cs="Arial"/>
        </w:rPr>
        <w:t>segundo</w:t>
      </w:r>
      <w:r w:rsidRPr="00212249">
        <w:rPr>
          <w:rFonts w:ascii="Arial" w:hAnsi="Arial" w:cs="Arial"/>
        </w:rPr>
        <w:t xml:space="preserve"> semestre de la vigencia 2015.</w:t>
      </w:r>
      <w:r w:rsidR="00B17A55">
        <w:rPr>
          <w:rFonts w:ascii="Arial" w:hAnsi="Arial" w:cs="Arial"/>
        </w:rPr>
        <w:tab/>
      </w:r>
    </w:p>
    <w:p w:rsidR="00927B76" w:rsidRDefault="00D705A1" w:rsidP="00927B7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D4A56">
        <w:rPr>
          <w:rFonts w:ascii="Arial" w:hAnsi="Arial" w:cs="Arial"/>
          <w:b/>
          <w:bCs/>
        </w:rPr>
        <w:t xml:space="preserve"> Alcance </w:t>
      </w:r>
    </w:p>
    <w:p w:rsidR="0051299B" w:rsidRPr="000D4A56" w:rsidRDefault="0051299B" w:rsidP="0051299B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</w:p>
    <w:p w:rsidR="00927B76" w:rsidRPr="000D4A56" w:rsidRDefault="002D7387" w:rsidP="00E00AC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periodo evaluado</w:t>
      </w:r>
      <w:r w:rsidR="002C07C3" w:rsidRPr="002C07C3">
        <w:rPr>
          <w:rFonts w:ascii="Arial" w:hAnsi="Arial" w:cs="Arial"/>
        </w:rPr>
        <w:t xml:space="preserve"> se encue</w:t>
      </w:r>
      <w:r w:rsidR="00EF3353">
        <w:rPr>
          <w:rFonts w:ascii="Arial" w:hAnsi="Arial" w:cs="Arial"/>
        </w:rPr>
        <w:t>ntra comprendido entre</w:t>
      </w:r>
      <w:r w:rsidR="00F369E0">
        <w:rPr>
          <w:rFonts w:ascii="Arial" w:hAnsi="Arial" w:cs="Arial"/>
        </w:rPr>
        <w:t xml:space="preserve"> </w:t>
      </w:r>
      <w:r w:rsidR="00F429B8">
        <w:rPr>
          <w:rFonts w:ascii="Arial" w:hAnsi="Arial" w:cs="Arial"/>
        </w:rPr>
        <w:t>julio</w:t>
      </w:r>
      <w:r w:rsidR="00EF3353">
        <w:rPr>
          <w:rFonts w:ascii="Arial" w:hAnsi="Arial" w:cs="Arial"/>
        </w:rPr>
        <w:t xml:space="preserve"> y </w:t>
      </w:r>
      <w:r w:rsidR="00F429B8">
        <w:rPr>
          <w:rFonts w:ascii="Arial" w:hAnsi="Arial" w:cs="Arial"/>
        </w:rPr>
        <w:t xml:space="preserve">diciembre </w:t>
      </w:r>
      <w:r w:rsidR="002C07C3" w:rsidRPr="002C07C3">
        <w:rPr>
          <w:rFonts w:ascii="Arial" w:hAnsi="Arial" w:cs="Arial"/>
        </w:rPr>
        <w:t>de</w:t>
      </w:r>
      <w:r w:rsidR="00EF3353">
        <w:rPr>
          <w:rFonts w:ascii="Arial" w:hAnsi="Arial" w:cs="Arial"/>
        </w:rPr>
        <w:t>l 2015</w:t>
      </w:r>
      <w:r w:rsidR="002C07C3" w:rsidRPr="002C07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12249">
        <w:rPr>
          <w:rFonts w:ascii="Arial" w:hAnsi="Arial" w:cs="Arial"/>
        </w:rPr>
        <w:t>Se hizo una revisión y análisis de</w:t>
      </w:r>
      <w:r w:rsidR="00927B76" w:rsidRPr="000D4A56">
        <w:rPr>
          <w:rFonts w:ascii="Arial" w:hAnsi="Arial" w:cs="Arial"/>
        </w:rPr>
        <w:t xml:space="preserve"> </w:t>
      </w:r>
      <w:r w:rsidR="00212249">
        <w:rPr>
          <w:rFonts w:ascii="Arial" w:hAnsi="Arial" w:cs="Arial"/>
        </w:rPr>
        <w:t xml:space="preserve">toda la información que se encuentra reportada en el </w:t>
      </w:r>
      <w:r w:rsidR="00E65CA0">
        <w:rPr>
          <w:rFonts w:ascii="Arial" w:hAnsi="Arial" w:cs="Arial"/>
        </w:rPr>
        <w:t>eKogui</w:t>
      </w:r>
      <w:r w:rsidR="00212249">
        <w:rPr>
          <w:rFonts w:ascii="Arial" w:hAnsi="Arial" w:cs="Arial"/>
        </w:rPr>
        <w:t xml:space="preserve"> de acuerdo a la matriz de los procesos judiciales de la entidad entregada por la Oficina Asesora Jurídica de la Supersubsidio,</w:t>
      </w:r>
      <w:r w:rsidR="00212249" w:rsidRPr="000D4A56">
        <w:rPr>
          <w:rFonts w:ascii="Arial" w:hAnsi="Arial" w:cs="Arial"/>
        </w:rPr>
        <w:t xml:space="preserve"> </w:t>
      </w:r>
      <w:r w:rsidR="00524F95">
        <w:rPr>
          <w:rFonts w:ascii="Arial" w:hAnsi="Arial" w:cs="Arial"/>
        </w:rPr>
        <w:t>de acuerdo con</w:t>
      </w:r>
      <w:r w:rsidR="00212249" w:rsidRPr="000D4A56">
        <w:rPr>
          <w:rFonts w:ascii="Arial" w:hAnsi="Arial" w:cs="Arial"/>
        </w:rPr>
        <w:t xml:space="preserve"> lo</w:t>
      </w:r>
      <w:r w:rsidR="00212249">
        <w:rPr>
          <w:rFonts w:ascii="Arial" w:hAnsi="Arial" w:cs="Arial"/>
        </w:rPr>
        <w:t>s criterios</w:t>
      </w:r>
      <w:r w:rsidR="00212249" w:rsidRPr="000D4A56">
        <w:rPr>
          <w:rFonts w:ascii="Arial" w:hAnsi="Arial" w:cs="Arial"/>
        </w:rPr>
        <w:t xml:space="preserve"> establecido</w:t>
      </w:r>
      <w:r w:rsidR="00212249">
        <w:rPr>
          <w:rFonts w:ascii="Arial" w:hAnsi="Arial" w:cs="Arial"/>
        </w:rPr>
        <w:t>s</w:t>
      </w:r>
      <w:r w:rsidR="00212249" w:rsidRPr="000D4A56">
        <w:rPr>
          <w:rFonts w:ascii="Arial" w:hAnsi="Arial" w:cs="Arial"/>
        </w:rPr>
        <w:t xml:space="preserve"> en </w:t>
      </w:r>
      <w:r w:rsidR="00212249">
        <w:rPr>
          <w:rFonts w:ascii="Arial" w:hAnsi="Arial" w:cs="Arial"/>
        </w:rPr>
        <w:t xml:space="preserve">el </w:t>
      </w:r>
      <w:r w:rsidR="00212249" w:rsidRPr="00212249">
        <w:rPr>
          <w:rFonts w:ascii="Arial" w:hAnsi="Arial" w:cs="Arial"/>
        </w:rPr>
        <w:t>Instructivo Del Sistema Único De Gestión E</w:t>
      </w:r>
      <w:r w:rsidR="00212249">
        <w:rPr>
          <w:rFonts w:ascii="Arial" w:hAnsi="Arial" w:cs="Arial"/>
        </w:rPr>
        <w:t xml:space="preserve"> </w:t>
      </w:r>
      <w:r w:rsidR="00212249" w:rsidRPr="00212249">
        <w:rPr>
          <w:rFonts w:ascii="Arial" w:hAnsi="Arial" w:cs="Arial"/>
        </w:rPr>
        <w:t>Información Litigiosa Del Estado “Ekogui”</w:t>
      </w:r>
      <w:r w:rsidR="00212249">
        <w:rPr>
          <w:rFonts w:ascii="Arial" w:hAnsi="Arial" w:cs="Arial"/>
        </w:rPr>
        <w:t xml:space="preserve"> </w:t>
      </w:r>
      <w:r w:rsidR="00212249" w:rsidRPr="00212249">
        <w:rPr>
          <w:rFonts w:ascii="Arial" w:hAnsi="Arial" w:cs="Arial"/>
        </w:rPr>
        <w:t>Perfil Jefe De Control Interno</w:t>
      </w:r>
      <w:r w:rsidR="00212249">
        <w:rPr>
          <w:rFonts w:ascii="Arial" w:hAnsi="Arial" w:cs="Arial"/>
        </w:rPr>
        <w:t>.</w:t>
      </w:r>
      <w:r w:rsidR="00212249" w:rsidRPr="00212249">
        <w:rPr>
          <w:rFonts w:ascii="Arial" w:hAnsi="Arial" w:cs="Arial"/>
        </w:rPr>
        <w:cr/>
      </w:r>
    </w:p>
    <w:p w:rsidR="00927B76" w:rsidRDefault="00D705A1" w:rsidP="00927B76">
      <w:pPr>
        <w:numPr>
          <w:ilvl w:val="0"/>
          <w:numId w:val="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Certificación</w:t>
      </w:r>
    </w:p>
    <w:p w:rsidR="00927B76" w:rsidRDefault="00524F95" w:rsidP="004030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524F95">
        <w:rPr>
          <w:rFonts w:ascii="Arial" w:hAnsi="Arial" w:cs="Arial"/>
        </w:rPr>
        <w:t>En cumplimiento con lo establecido en el Decreto 1069 de 2015, la Oficina de Control Interno de la Superintendencia del Subsidio Familiar, emite la certificación respecto al registro y actualización del Sistema Único de Gestión e información Litigiosa del Estado</w:t>
      </w:r>
      <w:r w:rsidR="00E65CA0">
        <w:rPr>
          <w:rFonts w:ascii="Arial" w:hAnsi="Arial" w:cs="Arial"/>
        </w:rPr>
        <w:t>, t</w:t>
      </w:r>
      <w:r w:rsidRPr="00524F95">
        <w:rPr>
          <w:rFonts w:ascii="Arial" w:hAnsi="Arial" w:cs="Arial"/>
        </w:rPr>
        <w:t>eniendo en cuenta los parámetros sugeridos:</w:t>
      </w:r>
    </w:p>
    <w:p w:rsidR="00524F95" w:rsidRDefault="00524F95" w:rsidP="00524F95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240" w:after="0"/>
        <w:ind w:left="426"/>
        <w:jc w:val="both"/>
        <w:rPr>
          <w:rFonts w:ascii="Arial" w:hAnsi="Arial" w:cs="Arial"/>
          <w:b/>
        </w:rPr>
      </w:pPr>
      <w:r w:rsidRPr="00524F95">
        <w:rPr>
          <w:rFonts w:ascii="Arial" w:hAnsi="Arial" w:cs="Arial"/>
          <w:b/>
        </w:rPr>
        <w:t>Ingreso y retiro de apoderados de la entidad</w:t>
      </w:r>
    </w:p>
    <w:p w:rsidR="00972FD4" w:rsidRDefault="00D7130E" w:rsidP="004030E2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período de la presente certificación se activó el perfil de Jefe de Oficina de Control Interno asignado al Dr. José William Casallas Fandiño. No hubo inactivación de usuarios, actualmente </w:t>
      </w:r>
      <w:r w:rsidR="00972FD4">
        <w:rPr>
          <w:rFonts w:ascii="Arial" w:hAnsi="Arial" w:cs="Arial"/>
        </w:rPr>
        <w:t xml:space="preserve">el rol de administrador y apoderado </w:t>
      </w:r>
      <w:r>
        <w:rPr>
          <w:rFonts w:ascii="Arial" w:hAnsi="Arial" w:cs="Arial"/>
        </w:rPr>
        <w:t>continua</w:t>
      </w:r>
      <w:r w:rsidR="00972FD4">
        <w:rPr>
          <w:rFonts w:ascii="Arial" w:hAnsi="Arial" w:cs="Arial"/>
        </w:rPr>
        <w:t xml:space="preserve"> designado a la </w:t>
      </w:r>
      <w:r w:rsidR="00552781">
        <w:rPr>
          <w:rFonts w:ascii="Arial" w:hAnsi="Arial" w:cs="Arial"/>
        </w:rPr>
        <w:t xml:space="preserve">Dra. </w:t>
      </w:r>
      <w:r w:rsidR="000A49B4">
        <w:rPr>
          <w:rFonts w:ascii="Arial" w:hAnsi="Arial" w:cs="Arial"/>
        </w:rPr>
        <w:t>Lida Regina Bula,</w:t>
      </w:r>
      <w:r w:rsidR="00972FD4">
        <w:rPr>
          <w:rFonts w:ascii="Arial" w:hAnsi="Arial" w:cs="Arial"/>
        </w:rPr>
        <w:t xml:space="preserve"> jefe de la Oficina Asesora Jurídica quien ejerce</w:t>
      </w:r>
      <w:r w:rsidR="00972FD4" w:rsidRPr="00972FD4">
        <w:rPr>
          <w:rFonts w:ascii="Arial" w:hAnsi="Arial" w:cs="Arial"/>
        </w:rPr>
        <w:t xml:space="preserve"> la representación judicial </w:t>
      </w:r>
      <w:r w:rsidR="00972FD4">
        <w:rPr>
          <w:rFonts w:ascii="Arial" w:hAnsi="Arial" w:cs="Arial"/>
        </w:rPr>
        <w:t>de la entidad.</w:t>
      </w:r>
      <w:r w:rsidR="00972FD4" w:rsidRPr="00972FD4">
        <w:rPr>
          <w:rFonts w:ascii="Arial" w:hAnsi="Arial" w:cs="Arial"/>
        </w:rPr>
        <w:t xml:space="preserve"> </w:t>
      </w:r>
    </w:p>
    <w:p w:rsidR="00524F95" w:rsidRDefault="00F47492" w:rsidP="00E65CA0">
      <w:pPr>
        <w:pStyle w:val="Prrafodelista"/>
        <w:numPr>
          <w:ilvl w:val="1"/>
          <w:numId w:val="6"/>
        </w:numPr>
        <w:tabs>
          <w:tab w:val="left" w:pos="142"/>
        </w:tabs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</w:rPr>
      </w:pPr>
      <w:r w:rsidRPr="00F47492">
        <w:rPr>
          <w:rFonts w:ascii="Arial" w:hAnsi="Arial" w:cs="Arial"/>
          <w:b/>
        </w:rPr>
        <w:t>Capacitaciones</w:t>
      </w:r>
    </w:p>
    <w:p w:rsidR="002C5FDD" w:rsidRDefault="00517FC3" w:rsidP="004030E2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informó que d</w:t>
      </w:r>
      <w:r w:rsidRPr="00F47492">
        <w:rPr>
          <w:rFonts w:ascii="Arial" w:hAnsi="Arial" w:cs="Arial"/>
        </w:rPr>
        <w:t xml:space="preserve">urante el </w:t>
      </w:r>
      <w:r>
        <w:rPr>
          <w:rFonts w:ascii="Arial" w:hAnsi="Arial" w:cs="Arial"/>
        </w:rPr>
        <w:t xml:space="preserve">segundo </w:t>
      </w:r>
      <w:r w:rsidRPr="00F47492">
        <w:rPr>
          <w:rFonts w:ascii="Arial" w:hAnsi="Arial" w:cs="Arial"/>
        </w:rPr>
        <w:t>semestre del 2015</w:t>
      </w:r>
      <w:r>
        <w:rPr>
          <w:rFonts w:ascii="Arial" w:hAnsi="Arial" w:cs="Arial"/>
        </w:rPr>
        <w:t>,</w:t>
      </w:r>
      <w:r w:rsidR="002C5FDD">
        <w:rPr>
          <w:rFonts w:ascii="Arial" w:hAnsi="Arial" w:cs="Arial"/>
        </w:rPr>
        <w:t xml:space="preserve"> </w:t>
      </w:r>
      <w:r w:rsidR="00E00ACF">
        <w:rPr>
          <w:rFonts w:ascii="Arial" w:hAnsi="Arial" w:cs="Arial"/>
        </w:rPr>
        <w:t>funcionarios de la Oficina Jurídica asistieron</w:t>
      </w:r>
      <w:r w:rsidR="00D7130E">
        <w:rPr>
          <w:rFonts w:ascii="Arial" w:hAnsi="Arial" w:cs="Arial"/>
        </w:rPr>
        <w:t xml:space="preserve"> </w:t>
      </w:r>
      <w:r w:rsidR="002C5FDD">
        <w:rPr>
          <w:rFonts w:ascii="Arial" w:hAnsi="Arial" w:cs="Arial"/>
        </w:rPr>
        <w:t>a las siguientes capacitaciones:</w:t>
      </w:r>
    </w:p>
    <w:p w:rsidR="00517FC3" w:rsidRPr="002C5FDD" w:rsidRDefault="002C5FDD" w:rsidP="00E00ACF">
      <w:pPr>
        <w:pStyle w:val="Prrafodelista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Agosto 21 de 2015 en la Agencia N</w:t>
      </w:r>
      <w:r w:rsidR="00517FC3" w:rsidRPr="002C5FDD">
        <w:rPr>
          <w:rFonts w:ascii="Arial" w:hAnsi="Arial" w:cs="Arial"/>
        </w:rPr>
        <w:t>acional de Defensa Jurídica</w:t>
      </w:r>
      <w:r>
        <w:rPr>
          <w:rFonts w:ascii="Arial" w:hAnsi="Arial" w:cs="Arial"/>
        </w:rPr>
        <w:t xml:space="preserve"> -</w:t>
      </w:r>
      <w:r w:rsidR="00517FC3" w:rsidRPr="002C5FDD">
        <w:rPr>
          <w:rFonts w:ascii="Arial" w:hAnsi="Arial" w:cs="Arial"/>
        </w:rPr>
        <w:t xml:space="preserve"> horario de 9:00 a</w:t>
      </w:r>
      <w:r>
        <w:rPr>
          <w:rFonts w:ascii="Arial" w:hAnsi="Arial" w:cs="Arial"/>
        </w:rPr>
        <w:t xml:space="preserve"> 12:</w:t>
      </w:r>
      <w:r w:rsidR="00517FC3" w:rsidRPr="002C5FDD">
        <w:rPr>
          <w:rFonts w:ascii="Arial" w:hAnsi="Arial" w:cs="Arial"/>
        </w:rPr>
        <w:t>00 AM</w:t>
      </w:r>
      <w:r>
        <w:rPr>
          <w:rFonts w:ascii="Arial" w:hAnsi="Arial" w:cs="Arial"/>
        </w:rPr>
        <w:t>.</w:t>
      </w:r>
    </w:p>
    <w:p w:rsidR="00517FC3" w:rsidRDefault="002C5FDD" w:rsidP="00E00ACF">
      <w:pPr>
        <w:pStyle w:val="Prrafodelista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Diciembre 03 de 2015, P</w:t>
      </w:r>
      <w:r w:rsidR="00517FC3" w:rsidRPr="002C5FDD">
        <w:rPr>
          <w:rFonts w:ascii="Arial" w:hAnsi="Arial" w:cs="Arial"/>
        </w:rPr>
        <w:t>rimer evento Nace la Comunidad Jurídica del Conocimiento realizado en la Univ</w:t>
      </w:r>
      <w:r>
        <w:rPr>
          <w:rFonts w:ascii="Arial" w:hAnsi="Arial" w:cs="Arial"/>
        </w:rPr>
        <w:t xml:space="preserve">ersidad Externado de 8:00 a 12:00 </w:t>
      </w:r>
      <w:r w:rsidR="00517FC3" w:rsidRPr="002C5FDD">
        <w:rPr>
          <w:rFonts w:ascii="Arial" w:hAnsi="Arial" w:cs="Arial"/>
        </w:rPr>
        <w:t>AM</w:t>
      </w:r>
      <w:r>
        <w:rPr>
          <w:rFonts w:ascii="Arial" w:hAnsi="Arial" w:cs="Arial"/>
        </w:rPr>
        <w:t>.</w:t>
      </w:r>
    </w:p>
    <w:p w:rsidR="002C5FDD" w:rsidRPr="002C5FDD" w:rsidRDefault="002C5FDD" w:rsidP="002C5FDD">
      <w:pPr>
        <w:pStyle w:val="Prrafodelista"/>
        <w:tabs>
          <w:tab w:val="left" w:pos="142"/>
        </w:tabs>
        <w:autoSpaceDE w:val="0"/>
        <w:autoSpaceDN w:val="0"/>
        <w:adjustRightInd w:val="0"/>
        <w:spacing w:before="240" w:after="0"/>
        <w:ind w:left="862"/>
        <w:jc w:val="both"/>
        <w:rPr>
          <w:rFonts w:ascii="Arial" w:hAnsi="Arial" w:cs="Arial"/>
        </w:rPr>
      </w:pPr>
    </w:p>
    <w:p w:rsidR="00F47492" w:rsidRDefault="00452E71" w:rsidP="00452E71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before="240" w:after="0"/>
        <w:ind w:left="567" w:hanging="425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Demandas o solicitudes de conciliación para la entidad durante la vigencia de la certificación</w:t>
      </w:r>
    </w:p>
    <w:p w:rsidR="00C5780D" w:rsidRPr="00644CEA" w:rsidRDefault="00452E71" w:rsidP="00644CEA">
      <w:pPr>
        <w:tabs>
          <w:tab w:val="left" w:pos="142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</w:rPr>
      </w:pPr>
      <w:r w:rsidRPr="00644CEA">
        <w:rPr>
          <w:rFonts w:ascii="Arial" w:hAnsi="Arial" w:cs="Arial"/>
          <w:b/>
        </w:rPr>
        <w:t xml:space="preserve">Verificar que el 100% de los procesos (procesos activos) que lleva la entidad están radicados en el sistema: </w:t>
      </w:r>
    </w:p>
    <w:p w:rsidR="002C004F" w:rsidRPr="00644CEA" w:rsidRDefault="00853F17" w:rsidP="00644CEA">
      <w:p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644CEA">
        <w:rPr>
          <w:rFonts w:ascii="Arial" w:hAnsi="Arial" w:cs="Arial"/>
        </w:rPr>
        <w:t xml:space="preserve">De acuerdo a la información suministrada por la Oficina Asesora Jurídica </w:t>
      </w:r>
      <w:r w:rsidR="002C004F" w:rsidRPr="00644CEA">
        <w:rPr>
          <w:rFonts w:ascii="Arial" w:hAnsi="Arial" w:cs="Arial"/>
        </w:rPr>
        <w:t xml:space="preserve">de los procesos </w:t>
      </w:r>
      <w:r w:rsidRPr="00644CEA">
        <w:rPr>
          <w:rFonts w:ascii="Arial" w:hAnsi="Arial" w:cs="Arial"/>
        </w:rPr>
        <w:t>que cursan en</w:t>
      </w:r>
      <w:r w:rsidR="002C004F" w:rsidRPr="00644CEA">
        <w:rPr>
          <w:rFonts w:ascii="Arial" w:hAnsi="Arial" w:cs="Arial"/>
        </w:rPr>
        <w:t xml:space="preserve"> la </w:t>
      </w:r>
      <w:r w:rsidR="005C63DA" w:rsidRPr="00644CEA">
        <w:rPr>
          <w:rFonts w:ascii="Arial" w:hAnsi="Arial" w:cs="Arial"/>
        </w:rPr>
        <w:t>Superinten</w:t>
      </w:r>
      <w:r w:rsidR="00C5780D" w:rsidRPr="00644CEA">
        <w:rPr>
          <w:rFonts w:ascii="Arial" w:hAnsi="Arial" w:cs="Arial"/>
        </w:rPr>
        <w:t xml:space="preserve">dencia del Subsidio Familiar, </w:t>
      </w:r>
      <w:r w:rsidR="009262E5" w:rsidRPr="00644CEA">
        <w:rPr>
          <w:rFonts w:ascii="Arial" w:hAnsi="Arial" w:cs="Arial"/>
        </w:rPr>
        <w:t xml:space="preserve">se </w:t>
      </w:r>
      <w:r w:rsidRPr="00644CEA">
        <w:rPr>
          <w:rFonts w:ascii="Arial" w:hAnsi="Arial" w:cs="Arial"/>
        </w:rPr>
        <w:t>evidencia</w:t>
      </w:r>
      <w:r w:rsidR="009262E5" w:rsidRPr="00644CEA">
        <w:rPr>
          <w:rFonts w:ascii="Arial" w:hAnsi="Arial" w:cs="Arial"/>
        </w:rPr>
        <w:t xml:space="preserve"> </w:t>
      </w:r>
      <w:r w:rsidRPr="00644CEA">
        <w:rPr>
          <w:rFonts w:ascii="Arial" w:hAnsi="Arial" w:cs="Arial"/>
        </w:rPr>
        <w:t xml:space="preserve">que 23 procesos se encuentran registrados en el aplicativo eKogui, que representa </w:t>
      </w:r>
      <w:r w:rsidR="009262E5" w:rsidRPr="00644CEA">
        <w:rPr>
          <w:rFonts w:ascii="Arial" w:hAnsi="Arial" w:cs="Arial"/>
        </w:rPr>
        <w:t xml:space="preserve">el </w:t>
      </w:r>
      <w:r w:rsidR="00E65CA0" w:rsidRPr="00644CEA">
        <w:rPr>
          <w:rFonts w:ascii="Arial" w:hAnsi="Arial" w:cs="Arial"/>
        </w:rPr>
        <w:t>100</w:t>
      </w:r>
      <w:r w:rsidR="00383DFF" w:rsidRPr="00644CEA">
        <w:rPr>
          <w:rFonts w:ascii="Arial" w:hAnsi="Arial" w:cs="Arial"/>
        </w:rPr>
        <w:t>%</w:t>
      </w:r>
      <w:r w:rsidRPr="00644CEA">
        <w:rPr>
          <w:rFonts w:ascii="Arial" w:hAnsi="Arial" w:cs="Arial"/>
        </w:rPr>
        <w:t xml:space="preserve"> de los que deben ser radicados en el Sistema.</w:t>
      </w:r>
    </w:p>
    <w:p w:rsidR="00452E71" w:rsidRDefault="00452E71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Verificar que el 100% de las solicitudes de conciliación allegadas a la entidad en el</w:t>
      </w:r>
      <w:r>
        <w:rPr>
          <w:rFonts w:ascii="Arial" w:hAnsi="Arial" w:cs="Arial"/>
          <w:b/>
        </w:rPr>
        <w:t xml:space="preserve"> </w:t>
      </w:r>
      <w:r w:rsidRPr="00452E71">
        <w:rPr>
          <w:rFonts w:ascii="Arial" w:hAnsi="Arial" w:cs="Arial"/>
          <w:b/>
        </w:rPr>
        <w:t>periodo de estudio están radicadas en el sistema</w:t>
      </w:r>
      <w:r>
        <w:rPr>
          <w:rFonts w:ascii="Arial" w:hAnsi="Arial" w:cs="Arial"/>
          <w:b/>
        </w:rPr>
        <w:t>:</w:t>
      </w:r>
    </w:p>
    <w:p w:rsidR="00FD4762" w:rsidRPr="00850394" w:rsidRDefault="00644CEA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  <w:r w:rsidRPr="00850394">
        <w:rPr>
          <w:rFonts w:ascii="Arial" w:hAnsi="Arial" w:cs="Arial"/>
        </w:rPr>
        <w:lastRenderedPageBreak/>
        <w:t xml:space="preserve">Se identificó que el 100% de las </w:t>
      </w:r>
      <w:r w:rsidR="004030E2">
        <w:rPr>
          <w:rFonts w:ascii="Arial" w:hAnsi="Arial" w:cs="Arial"/>
        </w:rPr>
        <w:t xml:space="preserve">(4) </w:t>
      </w:r>
      <w:r w:rsidRPr="00850394">
        <w:rPr>
          <w:rFonts w:ascii="Arial" w:hAnsi="Arial" w:cs="Arial"/>
        </w:rPr>
        <w:t>solicitudes de conciliación</w:t>
      </w:r>
      <w:r w:rsidR="000A49B4">
        <w:rPr>
          <w:rFonts w:ascii="Arial" w:hAnsi="Arial" w:cs="Arial"/>
        </w:rPr>
        <w:t xml:space="preserve"> allegadas</w:t>
      </w:r>
      <w:r w:rsidRPr="00850394">
        <w:rPr>
          <w:rFonts w:ascii="Arial" w:hAnsi="Arial" w:cs="Arial"/>
        </w:rPr>
        <w:t xml:space="preserve"> </w:t>
      </w:r>
      <w:r w:rsidR="00850394" w:rsidRPr="00850394">
        <w:rPr>
          <w:rFonts w:ascii="Arial" w:hAnsi="Arial" w:cs="Arial"/>
        </w:rPr>
        <w:t>en el período revisado</w:t>
      </w:r>
      <w:r w:rsidRPr="00850394">
        <w:rPr>
          <w:rFonts w:ascii="Arial" w:hAnsi="Arial" w:cs="Arial"/>
        </w:rPr>
        <w:t xml:space="preserve"> se encuentr</w:t>
      </w:r>
      <w:r w:rsidR="00850394">
        <w:rPr>
          <w:rFonts w:ascii="Arial" w:hAnsi="Arial" w:cs="Arial"/>
        </w:rPr>
        <w:t>an regist</w:t>
      </w:r>
      <w:r w:rsidR="004030E2">
        <w:rPr>
          <w:rFonts w:ascii="Arial" w:hAnsi="Arial" w:cs="Arial"/>
        </w:rPr>
        <w:t>radas en el sistema</w:t>
      </w:r>
      <w:r w:rsidRPr="00850394">
        <w:rPr>
          <w:rFonts w:ascii="Arial" w:hAnsi="Arial" w:cs="Arial"/>
        </w:rPr>
        <w:t xml:space="preserve">, se verificó con la información </w:t>
      </w:r>
      <w:r w:rsidR="00850394" w:rsidRPr="00850394">
        <w:rPr>
          <w:rFonts w:ascii="Arial" w:hAnsi="Arial" w:cs="Arial"/>
        </w:rPr>
        <w:t>remitida</w:t>
      </w:r>
      <w:r w:rsidRPr="00850394">
        <w:rPr>
          <w:rFonts w:ascii="Arial" w:hAnsi="Arial" w:cs="Arial"/>
        </w:rPr>
        <w:t xml:space="preserve"> por la Oficina Asesora Jurídica.</w:t>
      </w:r>
    </w:p>
    <w:p w:rsidR="00FD4762" w:rsidRDefault="00FD4762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</w:p>
    <w:p w:rsidR="00452E71" w:rsidRDefault="00452E71" w:rsidP="00644CEA">
      <w:pPr>
        <w:pStyle w:val="Prrafodelista"/>
        <w:tabs>
          <w:tab w:val="left" w:pos="851"/>
        </w:tabs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Verificar que el 100% de los procesos que se terminaron, tienen registrado en el</w:t>
      </w:r>
      <w:r>
        <w:rPr>
          <w:rFonts w:ascii="Arial" w:hAnsi="Arial" w:cs="Arial"/>
          <w:b/>
        </w:rPr>
        <w:t xml:space="preserve"> </w:t>
      </w:r>
      <w:r w:rsidRPr="00452E71">
        <w:rPr>
          <w:rFonts w:ascii="Arial" w:hAnsi="Arial" w:cs="Arial"/>
          <w:b/>
        </w:rPr>
        <w:t>sistema el sentido del fallo (Favorable/Desfavorable)</w:t>
      </w:r>
      <w:r>
        <w:rPr>
          <w:rFonts w:ascii="Arial" w:hAnsi="Arial" w:cs="Arial"/>
          <w:b/>
        </w:rPr>
        <w:t>:</w:t>
      </w:r>
    </w:p>
    <w:p w:rsidR="002C7349" w:rsidRDefault="002C7349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</w:p>
    <w:p w:rsidR="00A24860" w:rsidRDefault="00755D5C" w:rsidP="00644CEA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revisó el registro del sentido de fallo de los </w:t>
      </w:r>
      <w:r w:rsidR="00882D6E">
        <w:rPr>
          <w:rFonts w:ascii="Arial" w:hAnsi="Arial" w:cs="Arial"/>
        </w:rPr>
        <w:t>s</w:t>
      </w:r>
      <w:r w:rsidR="00414A19">
        <w:rPr>
          <w:rFonts w:ascii="Arial" w:hAnsi="Arial" w:cs="Arial"/>
        </w:rPr>
        <w:t>eis</w:t>
      </w:r>
      <w:r w:rsidR="00522537">
        <w:rPr>
          <w:rFonts w:ascii="Arial" w:hAnsi="Arial" w:cs="Arial"/>
        </w:rPr>
        <w:t xml:space="preserve"> (</w:t>
      </w:r>
      <w:r w:rsidR="00414A1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procesos terminados en el semestre, </w:t>
      </w:r>
      <w:r w:rsidR="002C7349" w:rsidRPr="002C7349">
        <w:rPr>
          <w:rFonts w:ascii="Arial" w:hAnsi="Arial" w:cs="Arial"/>
        </w:rPr>
        <w:t>encontrando</w:t>
      </w:r>
      <w:r>
        <w:rPr>
          <w:rFonts w:ascii="Arial" w:hAnsi="Arial" w:cs="Arial"/>
        </w:rPr>
        <w:t xml:space="preserve"> q</w:t>
      </w:r>
      <w:r w:rsidR="002C7349" w:rsidRPr="002C7349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el 100</w:t>
      </w:r>
      <w:r w:rsidR="002C7349" w:rsidRPr="002C7349">
        <w:rPr>
          <w:rFonts w:ascii="Arial" w:hAnsi="Arial" w:cs="Arial"/>
        </w:rPr>
        <w:t xml:space="preserve">% </w:t>
      </w:r>
      <w:r w:rsidR="00692D4F">
        <w:rPr>
          <w:rFonts w:ascii="Arial" w:hAnsi="Arial" w:cs="Arial"/>
        </w:rPr>
        <w:t xml:space="preserve">tiene </w:t>
      </w:r>
      <w:r w:rsidR="002C7349" w:rsidRPr="002C7349">
        <w:rPr>
          <w:rFonts w:ascii="Arial" w:hAnsi="Arial" w:cs="Arial"/>
        </w:rPr>
        <w:t>correctamente</w:t>
      </w:r>
      <w:r w:rsidR="00692D4F">
        <w:rPr>
          <w:rFonts w:ascii="Arial" w:hAnsi="Arial" w:cs="Arial"/>
        </w:rPr>
        <w:t xml:space="preserve"> diligenciado</w:t>
      </w:r>
      <w:r w:rsidR="002C7349" w:rsidRPr="002C7349">
        <w:rPr>
          <w:rFonts w:ascii="Arial" w:hAnsi="Arial" w:cs="Arial"/>
        </w:rPr>
        <w:t xml:space="preserve"> el sentido del fallo</w:t>
      </w:r>
      <w:r w:rsidR="00EB3A5A">
        <w:rPr>
          <w:rFonts w:ascii="Arial" w:hAnsi="Arial" w:cs="Arial"/>
        </w:rPr>
        <w:t xml:space="preserve">, </w:t>
      </w:r>
      <w:r w:rsidR="004030E2">
        <w:rPr>
          <w:rFonts w:ascii="Arial" w:hAnsi="Arial" w:cs="Arial"/>
        </w:rPr>
        <w:t>cinco</w:t>
      </w:r>
      <w:r w:rsidR="00882D6E">
        <w:rPr>
          <w:rFonts w:ascii="Arial" w:hAnsi="Arial" w:cs="Arial"/>
        </w:rPr>
        <w:t xml:space="preserve"> (</w:t>
      </w:r>
      <w:r w:rsidR="00414A19">
        <w:rPr>
          <w:rFonts w:ascii="Arial" w:hAnsi="Arial" w:cs="Arial"/>
        </w:rPr>
        <w:t>5</w:t>
      </w:r>
      <w:r w:rsidR="00882D6E">
        <w:rPr>
          <w:rFonts w:ascii="Arial" w:hAnsi="Arial" w:cs="Arial"/>
        </w:rPr>
        <w:t>)</w:t>
      </w:r>
      <w:r w:rsidR="00692D4F">
        <w:rPr>
          <w:rFonts w:ascii="Arial" w:hAnsi="Arial" w:cs="Arial"/>
        </w:rPr>
        <w:t xml:space="preserve"> de </w:t>
      </w:r>
      <w:r w:rsidR="002C7349" w:rsidRPr="002C7349">
        <w:rPr>
          <w:rFonts w:ascii="Arial" w:hAnsi="Arial" w:cs="Arial"/>
        </w:rPr>
        <w:t>ellos favorables</w:t>
      </w:r>
      <w:r w:rsidR="00692D4F">
        <w:rPr>
          <w:rFonts w:ascii="Arial" w:hAnsi="Arial" w:cs="Arial"/>
        </w:rPr>
        <w:t xml:space="preserve"> y </w:t>
      </w:r>
      <w:r w:rsidR="00882D6E">
        <w:rPr>
          <w:rFonts w:ascii="Arial" w:hAnsi="Arial" w:cs="Arial"/>
        </w:rPr>
        <w:t>uno (</w:t>
      </w:r>
      <w:r w:rsidR="00692D4F">
        <w:rPr>
          <w:rFonts w:ascii="Arial" w:hAnsi="Arial" w:cs="Arial"/>
        </w:rPr>
        <w:t>1</w:t>
      </w:r>
      <w:r w:rsidR="00882D6E">
        <w:rPr>
          <w:rFonts w:ascii="Arial" w:hAnsi="Arial" w:cs="Arial"/>
        </w:rPr>
        <w:t>)</w:t>
      </w:r>
      <w:r w:rsidR="00692D4F">
        <w:rPr>
          <w:rFonts w:ascii="Arial" w:hAnsi="Arial" w:cs="Arial"/>
        </w:rPr>
        <w:t xml:space="preserve"> desfavorable</w:t>
      </w:r>
      <w:r w:rsidR="00EB3A5A">
        <w:rPr>
          <w:rFonts w:ascii="Arial" w:hAnsi="Arial" w:cs="Arial"/>
        </w:rPr>
        <w:t>.</w:t>
      </w:r>
      <w:r w:rsidR="00A24860">
        <w:rPr>
          <w:rFonts w:ascii="Arial" w:hAnsi="Arial" w:cs="Arial"/>
        </w:rPr>
        <w:t xml:space="preserve"> </w:t>
      </w:r>
    </w:p>
    <w:p w:rsidR="00A24860" w:rsidRDefault="00A24860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</w:p>
    <w:p w:rsidR="00452E71" w:rsidRDefault="00452E71" w:rsidP="00644CEA">
      <w:pPr>
        <w:pStyle w:val="Prrafodelista"/>
        <w:tabs>
          <w:tab w:val="left" w:pos="709"/>
        </w:tabs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Verificar que el 100% de las solicitudes de conciliación analizadas por la entidad,</w:t>
      </w:r>
      <w:r w:rsidR="00001E36">
        <w:rPr>
          <w:rFonts w:ascii="Arial" w:hAnsi="Arial" w:cs="Arial"/>
          <w:b/>
        </w:rPr>
        <w:t xml:space="preserve"> </w:t>
      </w:r>
      <w:r w:rsidRPr="00452E71">
        <w:rPr>
          <w:rFonts w:ascii="Arial" w:hAnsi="Arial" w:cs="Arial"/>
          <w:b/>
        </w:rPr>
        <w:t>tienen registrado en el sistema si procedió la conciliación o no</w:t>
      </w:r>
      <w:r>
        <w:rPr>
          <w:rFonts w:ascii="Arial" w:hAnsi="Arial" w:cs="Arial"/>
          <w:b/>
        </w:rPr>
        <w:t>:</w:t>
      </w:r>
    </w:p>
    <w:p w:rsidR="002C7349" w:rsidRDefault="002C7349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</w:p>
    <w:p w:rsidR="00644CEA" w:rsidRPr="002615AE" w:rsidRDefault="002615AE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  <w:r w:rsidRPr="002615AE">
        <w:rPr>
          <w:rFonts w:ascii="Arial" w:hAnsi="Arial" w:cs="Arial"/>
        </w:rPr>
        <w:t>La Oficina Asesora Jurídica</w:t>
      </w:r>
      <w:r w:rsidR="004030E2">
        <w:rPr>
          <w:rFonts w:ascii="Arial" w:hAnsi="Arial" w:cs="Arial"/>
        </w:rPr>
        <w:t xml:space="preserve"> informó que respecto a</w:t>
      </w:r>
      <w:r w:rsidRPr="002615AE">
        <w:rPr>
          <w:rFonts w:ascii="Arial" w:hAnsi="Arial" w:cs="Arial"/>
        </w:rPr>
        <w:t xml:space="preserve">l archivo de las 4 solicitudes de conciliaciones ya evacuadas no </w:t>
      </w:r>
      <w:r w:rsidR="004030E2">
        <w:rPr>
          <w:rFonts w:ascii="Arial" w:hAnsi="Arial" w:cs="Arial"/>
        </w:rPr>
        <w:t>ha sido posible</w:t>
      </w:r>
      <w:r w:rsidRPr="002615AE">
        <w:rPr>
          <w:rFonts w:ascii="Arial" w:hAnsi="Arial" w:cs="Arial"/>
        </w:rPr>
        <w:t>, y por tanto se comunicaron con soporte Ekogui sugiriendo enviar el formato para tal efecto, el cual ya fue remitido con la información a ingresar en el sistema y  la observación de que no procedió la conciliación.</w:t>
      </w:r>
    </w:p>
    <w:p w:rsidR="00C12A37" w:rsidRPr="00C12F7D" w:rsidRDefault="00C12A37" w:rsidP="00644C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C12A37" w:rsidRDefault="00C12A37" w:rsidP="00644CEA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Verificar que el 100% de los procesos registrados en el sistema tengan provisión</w:t>
      </w:r>
      <w:r w:rsidR="00001E36">
        <w:rPr>
          <w:rFonts w:ascii="Arial" w:hAnsi="Arial" w:cs="Arial"/>
          <w:b/>
        </w:rPr>
        <w:t xml:space="preserve"> </w:t>
      </w:r>
      <w:r w:rsidRPr="00452E71">
        <w:rPr>
          <w:rFonts w:ascii="Arial" w:hAnsi="Arial" w:cs="Arial"/>
          <w:b/>
        </w:rPr>
        <w:t>contable</w:t>
      </w:r>
      <w:r>
        <w:rPr>
          <w:rFonts w:ascii="Arial" w:hAnsi="Arial" w:cs="Arial"/>
          <w:b/>
        </w:rPr>
        <w:t>:</w:t>
      </w:r>
    </w:p>
    <w:p w:rsidR="00C12A37" w:rsidRPr="00C12F7D" w:rsidRDefault="00C12A37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</w:p>
    <w:p w:rsidR="00C12A37" w:rsidRDefault="00C12A37" w:rsidP="00644CEA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</w:t>
      </w:r>
      <w:r w:rsidRPr="00C12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 r</w:t>
      </w:r>
      <w:r w:rsidRPr="00C12F7D">
        <w:rPr>
          <w:rFonts w:ascii="Arial" w:hAnsi="Arial" w:cs="Arial"/>
        </w:rPr>
        <w:t>eporte</w:t>
      </w:r>
      <w:r>
        <w:rPr>
          <w:rFonts w:ascii="Arial" w:hAnsi="Arial" w:cs="Arial"/>
        </w:rPr>
        <w:t xml:space="preserve"> arrojado por el sistema </w:t>
      </w:r>
      <w:r w:rsidRPr="007701E7">
        <w:rPr>
          <w:rFonts w:ascii="Arial" w:hAnsi="Arial" w:cs="Arial"/>
        </w:rPr>
        <w:t>eKogui</w:t>
      </w:r>
      <w:r>
        <w:rPr>
          <w:rFonts w:ascii="Arial" w:hAnsi="Arial" w:cs="Arial"/>
        </w:rPr>
        <w:t xml:space="preserve"> de los</w:t>
      </w:r>
      <w:r w:rsidRPr="00C12F7D">
        <w:rPr>
          <w:rFonts w:ascii="Arial" w:hAnsi="Arial" w:cs="Arial"/>
        </w:rPr>
        <w:t xml:space="preserve"> Procesos Judiciales, </w:t>
      </w:r>
      <w:r>
        <w:rPr>
          <w:rFonts w:ascii="Arial" w:hAnsi="Arial" w:cs="Arial"/>
        </w:rPr>
        <w:t xml:space="preserve">se encuentra que </w:t>
      </w:r>
      <w:r w:rsidR="005E168E">
        <w:rPr>
          <w:rFonts w:ascii="Arial" w:hAnsi="Arial" w:cs="Arial"/>
        </w:rPr>
        <w:t xml:space="preserve"> </w:t>
      </w:r>
      <w:r w:rsidRPr="00C12F7D">
        <w:rPr>
          <w:rFonts w:ascii="Arial" w:hAnsi="Arial" w:cs="Arial"/>
        </w:rPr>
        <w:t>se ha asignado la provisión contable a</w:t>
      </w:r>
      <w:r w:rsidR="00001E36">
        <w:rPr>
          <w:rFonts w:ascii="Arial" w:hAnsi="Arial" w:cs="Arial"/>
        </w:rPr>
        <w:t xml:space="preserve">l 100% </w:t>
      </w:r>
      <w:r w:rsidR="005E168E">
        <w:rPr>
          <w:rFonts w:ascii="Arial" w:hAnsi="Arial" w:cs="Arial"/>
        </w:rPr>
        <w:t xml:space="preserve">de </w:t>
      </w:r>
      <w:r w:rsidRPr="00C12F7D">
        <w:rPr>
          <w:rFonts w:ascii="Arial" w:hAnsi="Arial" w:cs="Arial"/>
        </w:rPr>
        <w:t xml:space="preserve">los procesos en los cuales interviene </w:t>
      </w:r>
      <w:r>
        <w:rPr>
          <w:rFonts w:ascii="Arial" w:hAnsi="Arial" w:cs="Arial"/>
        </w:rPr>
        <w:t>o se encuentra vinculada la entidad.</w:t>
      </w:r>
    </w:p>
    <w:p w:rsidR="00C12F7D" w:rsidRPr="00C12F7D" w:rsidRDefault="00C12F7D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</w:rPr>
      </w:pPr>
    </w:p>
    <w:p w:rsidR="00452E71" w:rsidRDefault="00452E71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  <w:r w:rsidRPr="00452E71">
        <w:rPr>
          <w:rFonts w:ascii="Arial" w:hAnsi="Arial" w:cs="Arial"/>
          <w:b/>
        </w:rPr>
        <w:t>Verificar que el 100% de los procesos registrados en el sistema tengan calificación del</w:t>
      </w:r>
      <w:r>
        <w:rPr>
          <w:rFonts w:ascii="Arial" w:hAnsi="Arial" w:cs="Arial"/>
          <w:b/>
        </w:rPr>
        <w:t xml:space="preserve"> </w:t>
      </w:r>
      <w:r w:rsidRPr="00452E71">
        <w:rPr>
          <w:rFonts w:ascii="Arial" w:hAnsi="Arial" w:cs="Arial"/>
          <w:b/>
        </w:rPr>
        <w:t>riesgo</w:t>
      </w:r>
      <w:r>
        <w:rPr>
          <w:rFonts w:ascii="Arial" w:hAnsi="Arial" w:cs="Arial"/>
          <w:b/>
        </w:rPr>
        <w:t>:</w:t>
      </w:r>
    </w:p>
    <w:p w:rsidR="00C12F7D" w:rsidRDefault="00C12F7D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</w:p>
    <w:p w:rsidR="00C12F7D" w:rsidRDefault="00CC131E" w:rsidP="00644CEA">
      <w:pPr>
        <w:pStyle w:val="Prrafode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Arial" w:hAnsi="Arial" w:cs="Arial"/>
        </w:rPr>
      </w:pPr>
      <w:r w:rsidRPr="00CC131E">
        <w:rPr>
          <w:rFonts w:ascii="Arial" w:hAnsi="Arial" w:cs="Arial"/>
        </w:rPr>
        <w:t>De acuerdo al reporte arrojado por el sistema eKogui de los Procesos Jud</w:t>
      </w:r>
      <w:r>
        <w:rPr>
          <w:rFonts w:ascii="Arial" w:hAnsi="Arial" w:cs="Arial"/>
        </w:rPr>
        <w:t>iciales, se encuentra que se ha calificado el riesgo</w:t>
      </w:r>
      <w:r w:rsidR="00001E36">
        <w:rPr>
          <w:rFonts w:ascii="Arial" w:hAnsi="Arial" w:cs="Arial"/>
        </w:rPr>
        <w:t xml:space="preserve"> al 100% </w:t>
      </w:r>
      <w:r w:rsidRPr="00CC131E">
        <w:rPr>
          <w:rFonts w:ascii="Arial" w:hAnsi="Arial" w:cs="Arial"/>
        </w:rPr>
        <w:t>de los procesos en los cuales interviene o se encuentra vinculada la entidad.</w:t>
      </w:r>
    </w:p>
    <w:p w:rsidR="00C12F7D" w:rsidRDefault="00C12F7D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</w:p>
    <w:p w:rsidR="00F47492" w:rsidRDefault="00452E71" w:rsidP="00644CEA">
      <w:pPr>
        <w:pStyle w:val="Prrafodelista"/>
        <w:autoSpaceDE w:val="0"/>
        <w:autoSpaceDN w:val="0"/>
        <w:adjustRightInd w:val="0"/>
        <w:spacing w:before="240" w:after="0"/>
        <w:ind w:left="0"/>
        <w:jc w:val="both"/>
        <w:rPr>
          <w:rFonts w:ascii="Arial" w:hAnsi="Arial" w:cs="Arial"/>
          <w:b/>
        </w:rPr>
      </w:pPr>
      <w:r w:rsidRPr="00C12F7D">
        <w:rPr>
          <w:rFonts w:ascii="Arial" w:hAnsi="Arial" w:cs="Arial"/>
          <w:b/>
        </w:rPr>
        <w:t xml:space="preserve">Verificar que el 100% de los casos estudiados en sede del comité de conciliación tengan sus fichas registradas en el sistema: </w:t>
      </w:r>
    </w:p>
    <w:p w:rsidR="00CC131E" w:rsidRDefault="00CC131E" w:rsidP="00644CE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por parte</w:t>
      </w:r>
      <w:r w:rsidR="00033F46">
        <w:rPr>
          <w:rFonts w:ascii="Arial" w:hAnsi="Arial" w:cs="Arial"/>
        </w:rPr>
        <w:t xml:space="preserve"> de la Oficina Asesora Jurídica, </w:t>
      </w:r>
      <w:r w:rsidR="005A6912">
        <w:rPr>
          <w:rFonts w:ascii="Arial" w:hAnsi="Arial" w:cs="Arial"/>
        </w:rPr>
        <w:t xml:space="preserve">que </w:t>
      </w:r>
      <w:r w:rsidR="00A51C9D">
        <w:rPr>
          <w:rFonts w:ascii="Arial" w:hAnsi="Arial" w:cs="Arial"/>
        </w:rPr>
        <w:t xml:space="preserve">se </w:t>
      </w:r>
      <w:r w:rsidR="005A6912">
        <w:rPr>
          <w:rFonts w:ascii="Arial" w:hAnsi="Arial" w:cs="Arial"/>
        </w:rPr>
        <w:t>solicit</w:t>
      </w:r>
      <w:r w:rsidR="00A51C9D">
        <w:rPr>
          <w:rFonts w:ascii="Arial" w:hAnsi="Arial" w:cs="Arial"/>
        </w:rPr>
        <w:t>ó</w:t>
      </w:r>
      <w:r w:rsidR="005A6912">
        <w:rPr>
          <w:rFonts w:ascii="Arial" w:hAnsi="Arial" w:cs="Arial"/>
        </w:rPr>
        <w:t xml:space="preserve"> a la ANDJE </w:t>
      </w:r>
      <w:r w:rsidR="00403CB5">
        <w:rPr>
          <w:rFonts w:ascii="Arial" w:hAnsi="Arial" w:cs="Arial"/>
        </w:rPr>
        <w:t xml:space="preserve">capacitación </w:t>
      </w:r>
      <w:r w:rsidR="00E00ACF">
        <w:rPr>
          <w:rFonts w:ascii="Arial" w:hAnsi="Arial" w:cs="Arial"/>
        </w:rPr>
        <w:t>en el tema del procedimiento para realizar el registro d</w:t>
      </w:r>
      <w:r w:rsidR="006A6938">
        <w:rPr>
          <w:rFonts w:ascii="Arial" w:hAnsi="Arial" w:cs="Arial"/>
        </w:rPr>
        <w:t>e fichas técnicas en el sistema, p</w:t>
      </w:r>
      <w:r>
        <w:rPr>
          <w:rFonts w:ascii="Arial" w:hAnsi="Arial" w:cs="Arial"/>
        </w:rPr>
        <w:t xml:space="preserve">or </w:t>
      </w:r>
      <w:r w:rsidR="006A6938">
        <w:rPr>
          <w:rFonts w:ascii="Arial" w:hAnsi="Arial" w:cs="Arial"/>
        </w:rPr>
        <w:t xml:space="preserve">lo que a la fecha </w:t>
      </w:r>
      <w:r>
        <w:rPr>
          <w:rFonts w:ascii="Arial" w:hAnsi="Arial" w:cs="Arial"/>
        </w:rPr>
        <w:t>no se ha realizado el cargue de lo respectivo.</w:t>
      </w:r>
    </w:p>
    <w:p w:rsidR="002C6BA2" w:rsidRDefault="002C6BA2" w:rsidP="0064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6F53" w:rsidRDefault="00876F53" w:rsidP="00644C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6BA2" w:rsidRPr="002C6BA2" w:rsidRDefault="00C12A37" w:rsidP="002C6BA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Observaciones y opciones de mejora para el Sistema</w:t>
      </w:r>
    </w:p>
    <w:p w:rsidR="00057E1D" w:rsidRDefault="00057E1D" w:rsidP="00057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321B" w:rsidRPr="00B3321B" w:rsidRDefault="00B3321B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Efectuada la v</w:t>
      </w:r>
      <w:r w:rsidRPr="00B3321B">
        <w:rPr>
          <w:rFonts w:ascii="Arial" w:hAnsi="Arial" w:cs="Arial"/>
        </w:rPr>
        <w:t>erificación</w:t>
      </w:r>
      <w:r w:rsidR="00C11CB0">
        <w:rPr>
          <w:rFonts w:ascii="Arial" w:hAnsi="Arial" w:cs="Arial"/>
        </w:rPr>
        <w:t>,</w:t>
      </w:r>
      <w:r w:rsidRPr="00B3321B">
        <w:rPr>
          <w:rFonts w:ascii="Arial" w:hAnsi="Arial" w:cs="Arial"/>
        </w:rPr>
        <w:t xml:space="preserve"> la oficina de control Interno </w:t>
      </w:r>
      <w:r>
        <w:rPr>
          <w:rFonts w:ascii="Arial" w:hAnsi="Arial" w:cs="Arial"/>
        </w:rPr>
        <w:t xml:space="preserve">informa </w:t>
      </w:r>
      <w:r w:rsidRPr="00B3321B">
        <w:rPr>
          <w:rFonts w:ascii="Arial" w:hAnsi="Arial" w:cs="Arial"/>
        </w:rPr>
        <w:t>que la SSF ha cumplido con el registro de los procesos activos (judiciales y conciliaciones), la actualización de la información litigiosa, sentido de</w:t>
      </w:r>
      <w:r>
        <w:rPr>
          <w:rFonts w:ascii="Arial" w:hAnsi="Arial" w:cs="Arial"/>
        </w:rPr>
        <w:t>l fallo en procesos terminados y el r</w:t>
      </w:r>
      <w:r w:rsidRPr="00B3321B">
        <w:rPr>
          <w:rFonts w:ascii="Arial" w:hAnsi="Arial" w:cs="Arial"/>
        </w:rPr>
        <w:t>egistro</w:t>
      </w:r>
      <w:r>
        <w:rPr>
          <w:rFonts w:ascii="Arial" w:hAnsi="Arial" w:cs="Arial"/>
        </w:rPr>
        <w:t xml:space="preserve"> de los movimientos procesales. Sin embargo,</w:t>
      </w:r>
      <w:r w:rsidR="000A49B4">
        <w:rPr>
          <w:rFonts w:ascii="Arial" w:hAnsi="Arial" w:cs="Arial"/>
        </w:rPr>
        <w:t xml:space="preserve"> se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B3321B">
        <w:rPr>
          <w:rFonts w:ascii="Arial" w:hAnsi="Arial" w:cs="Arial"/>
        </w:rPr>
        <w:t>observa que se encuentra pendiente el cargue de las fichas técnicas del comité de conciliación en el sistema eKogui</w:t>
      </w:r>
      <w:r>
        <w:rPr>
          <w:rFonts w:ascii="Arial" w:hAnsi="Arial" w:cs="Arial"/>
        </w:rPr>
        <w:t>.</w:t>
      </w:r>
    </w:p>
    <w:p w:rsidR="00B3321B" w:rsidRDefault="00B3321B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3321B" w:rsidRPr="00A14BD4" w:rsidRDefault="00B3321B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anterior</w:t>
      </w:r>
      <w:r w:rsidR="0017507D">
        <w:rPr>
          <w:rFonts w:ascii="Arial" w:hAnsi="Arial" w:cs="Arial"/>
        </w:rPr>
        <w:t>, se</w:t>
      </w:r>
      <w:r>
        <w:rPr>
          <w:rFonts w:ascii="Arial" w:hAnsi="Arial" w:cs="Arial"/>
        </w:rPr>
        <w:t xml:space="preserve"> recomienda a</w:t>
      </w:r>
      <w:r w:rsidR="006A6938">
        <w:rPr>
          <w:rFonts w:ascii="Arial" w:hAnsi="Arial" w:cs="Arial"/>
        </w:rPr>
        <w:t>l funcionario asignado de la</w:t>
      </w:r>
      <w:r>
        <w:rPr>
          <w:rFonts w:ascii="Arial" w:hAnsi="Arial" w:cs="Arial"/>
        </w:rPr>
        <w:t xml:space="preserve"> Oficina Asesora Jurídica</w:t>
      </w:r>
      <w:r w:rsidR="00ED00D1">
        <w:rPr>
          <w:rFonts w:ascii="Arial" w:hAnsi="Arial" w:cs="Arial"/>
        </w:rPr>
        <w:t xml:space="preserve"> </w:t>
      </w:r>
      <w:r w:rsidR="006A6938">
        <w:rPr>
          <w:rFonts w:ascii="Arial" w:hAnsi="Arial" w:cs="Arial"/>
        </w:rPr>
        <w:t>que una vez reciba</w:t>
      </w:r>
      <w:r>
        <w:rPr>
          <w:rFonts w:ascii="Arial" w:hAnsi="Arial" w:cs="Arial"/>
        </w:rPr>
        <w:t xml:space="preserve"> capacitación </w:t>
      </w:r>
      <w:r w:rsidR="006A6938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Agencia Nacional de Defensa Jurídica en lo respectivo al procedimiento para realizar </w:t>
      </w:r>
      <w:r w:rsidRPr="00B3321B">
        <w:rPr>
          <w:rFonts w:ascii="Arial" w:hAnsi="Arial" w:cs="Arial"/>
        </w:rPr>
        <w:t>el cargue de las fichas técnicas del comité de conciliación en el sistema eKogui</w:t>
      </w:r>
      <w:r w:rsidR="006A6938">
        <w:rPr>
          <w:rFonts w:ascii="Arial" w:hAnsi="Arial" w:cs="Arial"/>
        </w:rPr>
        <w:t xml:space="preserve"> se proceda al cumplimiento de</w:t>
      </w:r>
      <w:r w:rsidR="00B17A55">
        <w:rPr>
          <w:rFonts w:ascii="Arial" w:hAnsi="Arial" w:cs="Arial"/>
        </w:rPr>
        <w:t xml:space="preserve"> </w:t>
      </w:r>
      <w:r w:rsidR="006A6938">
        <w:rPr>
          <w:rFonts w:ascii="Arial" w:hAnsi="Arial" w:cs="Arial"/>
        </w:rPr>
        <w:t>l</w:t>
      </w:r>
      <w:r w:rsidR="00B17A55">
        <w:rPr>
          <w:rFonts w:ascii="Arial" w:hAnsi="Arial" w:cs="Arial"/>
        </w:rPr>
        <w:t>o</w:t>
      </w:r>
      <w:r w:rsidR="006A6938">
        <w:rPr>
          <w:rFonts w:ascii="Arial" w:hAnsi="Arial" w:cs="Arial"/>
        </w:rPr>
        <w:t xml:space="preserve"> mismo.</w:t>
      </w:r>
    </w:p>
    <w:p w:rsidR="00057E1D" w:rsidRDefault="00057E1D" w:rsidP="00644CE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ED00D1" w:rsidRDefault="00ED00D1" w:rsidP="00927B76">
      <w:pPr>
        <w:spacing w:after="0" w:line="240" w:lineRule="auto"/>
        <w:rPr>
          <w:rFonts w:ascii="Arial" w:hAnsi="Arial" w:cs="Arial"/>
        </w:rPr>
      </w:pPr>
    </w:p>
    <w:p w:rsidR="00876F53" w:rsidRDefault="00876F53" w:rsidP="00927B76">
      <w:pPr>
        <w:spacing w:after="0" w:line="240" w:lineRule="auto"/>
        <w:rPr>
          <w:rFonts w:ascii="Arial" w:hAnsi="Arial" w:cs="Arial"/>
        </w:rPr>
      </w:pPr>
    </w:p>
    <w:p w:rsidR="00B17A55" w:rsidRDefault="00B17A55" w:rsidP="00927B76">
      <w:pPr>
        <w:spacing w:after="0" w:line="240" w:lineRule="auto"/>
        <w:rPr>
          <w:rFonts w:ascii="Arial" w:hAnsi="Arial" w:cs="Arial"/>
        </w:rPr>
      </w:pPr>
    </w:p>
    <w:p w:rsidR="00927B76" w:rsidRPr="000D4A56" w:rsidRDefault="00B3321B" w:rsidP="00927B7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</w:t>
      </w:r>
      <w:r w:rsidR="00927B76" w:rsidRPr="000D4A56">
        <w:rPr>
          <w:rFonts w:ascii="Arial" w:hAnsi="Arial" w:cs="Arial"/>
          <w:b/>
        </w:rPr>
        <w:t xml:space="preserve"> WILLIAM CASALLAS FANDIÑO</w:t>
      </w:r>
    </w:p>
    <w:p w:rsidR="00927B76" w:rsidRPr="000D4A56" w:rsidRDefault="00927B76" w:rsidP="00927B76">
      <w:pPr>
        <w:spacing w:after="0" w:line="240" w:lineRule="auto"/>
        <w:rPr>
          <w:rFonts w:ascii="Arial" w:hAnsi="Arial" w:cs="Arial"/>
        </w:rPr>
      </w:pPr>
      <w:r w:rsidRPr="000D4A56">
        <w:rPr>
          <w:rFonts w:ascii="Arial" w:hAnsi="Arial" w:cs="Arial"/>
        </w:rPr>
        <w:t>Jefe Oficina de Control Interno</w:t>
      </w:r>
    </w:p>
    <w:sectPr w:rsidR="00927B76" w:rsidRPr="000D4A56" w:rsidSect="005B44CD">
      <w:headerReference w:type="default" r:id="rId8"/>
      <w:footerReference w:type="default" r:id="rId9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B8" w:rsidRDefault="001B55B8" w:rsidP="006B0C0A">
      <w:pPr>
        <w:spacing w:after="0" w:line="240" w:lineRule="auto"/>
      </w:pPr>
      <w:r>
        <w:separator/>
      </w:r>
    </w:p>
  </w:endnote>
  <w:endnote w:type="continuationSeparator" w:id="0">
    <w:p w:rsidR="001B55B8" w:rsidRDefault="001B55B8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C207A1" wp14:editId="1EAB8927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 wp14:anchorId="6EA9E614" wp14:editId="06EC7472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 wp14:anchorId="383BF189" wp14:editId="6EADF07B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207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 wp14:anchorId="6EA9E614" wp14:editId="06EC7472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 wp14:anchorId="383BF189" wp14:editId="6EADF07B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 wp14:anchorId="35B95298" wp14:editId="21A25841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B8" w:rsidRDefault="001B55B8" w:rsidP="006B0C0A">
      <w:pPr>
        <w:spacing w:after="0" w:line="240" w:lineRule="auto"/>
      </w:pPr>
      <w:r>
        <w:separator/>
      </w:r>
    </w:p>
  </w:footnote>
  <w:footnote w:type="continuationSeparator" w:id="0">
    <w:p w:rsidR="001B55B8" w:rsidRDefault="001B55B8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278580" wp14:editId="2A39858D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7A036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 wp14:anchorId="7BC53AFA" wp14:editId="587470F8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 wp14:anchorId="061EC65E" wp14:editId="65ACC9AE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69"/>
    <w:multiLevelType w:val="hybridMultilevel"/>
    <w:tmpl w:val="E208DF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3C2"/>
    <w:multiLevelType w:val="hybridMultilevel"/>
    <w:tmpl w:val="F18E7A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60A2"/>
    <w:multiLevelType w:val="hybridMultilevel"/>
    <w:tmpl w:val="00D65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12EE"/>
    <w:multiLevelType w:val="hybridMultilevel"/>
    <w:tmpl w:val="8E5E494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565110C"/>
    <w:multiLevelType w:val="hybridMultilevel"/>
    <w:tmpl w:val="CA8C1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215CE"/>
    <w:multiLevelType w:val="hybridMultilevel"/>
    <w:tmpl w:val="5240CA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35CE6"/>
    <w:multiLevelType w:val="hybridMultilevel"/>
    <w:tmpl w:val="E9760C18"/>
    <w:lvl w:ilvl="0" w:tplc="40FC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56406"/>
    <w:multiLevelType w:val="hybridMultilevel"/>
    <w:tmpl w:val="88ACD01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A406721"/>
    <w:multiLevelType w:val="hybridMultilevel"/>
    <w:tmpl w:val="DDC8D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01E36"/>
    <w:rsid w:val="00012C04"/>
    <w:rsid w:val="00027DE0"/>
    <w:rsid w:val="00031993"/>
    <w:rsid w:val="00033F46"/>
    <w:rsid w:val="000453CD"/>
    <w:rsid w:val="00057E1D"/>
    <w:rsid w:val="0008177D"/>
    <w:rsid w:val="000904F5"/>
    <w:rsid w:val="000A49B4"/>
    <w:rsid w:val="000E5F10"/>
    <w:rsid w:val="000F4B2A"/>
    <w:rsid w:val="0011629D"/>
    <w:rsid w:val="00133712"/>
    <w:rsid w:val="00165B99"/>
    <w:rsid w:val="00170202"/>
    <w:rsid w:val="00172198"/>
    <w:rsid w:val="00174337"/>
    <w:rsid w:val="0017507D"/>
    <w:rsid w:val="001762A1"/>
    <w:rsid w:val="00182294"/>
    <w:rsid w:val="00187C22"/>
    <w:rsid w:val="001B55B8"/>
    <w:rsid w:val="001B691D"/>
    <w:rsid w:val="001C0AC6"/>
    <w:rsid w:val="001C6FC8"/>
    <w:rsid w:val="001D7A0E"/>
    <w:rsid w:val="001F338B"/>
    <w:rsid w:val="001F39F6"/>
    <w:rsid w:val="00210505"/>
    <w:rsid w:val="00212249"/>
    <w:rsid w:val="002147E8"/>
    <w:rsid w:val="00227D33"/>
    <w:rsid w:val="00255BF1"/>
    <w:rsid w:val="002615AE"/>
    <w:rsid w:val="002632A3"/>
    <w:rsid w:val="0026500F"/>
    <w:rsid w:val="00267D14"/>
    <w:rsid w:val="00274180"/>
    <w:rsid w:val="00274C8B"/>
    <w:rsid w:val="00280D12"/>
    <w:rsid w:val="002B03C8"/>
    <w:rsid w:val="002C004F"/>
    <w:rsid w:val="002C07C3"/>
    <w:rsid w:val="002C3390"/>
    <w:rsid w:val="002C5FDD"/>
    <w:rsid w:val="002C6BA2"/>
    <w:rsid w:val="002C7349"/>
    <w:rsid w:val="002D7387"/>
    <w:rsid w:val="002E7678"/>
    <w:rsid w:val="0030687C"/>
    <w:rsid w:val="00324F44"/>
    <w:rsid w:val="00333C0D"/>
    <w:rsid w:val="00336D7C"/>
    <w:rsid w:val="0035611C"/>
    <w:rsid w:val="00383DFF"/>
    <w:rsid w:val="003B3AD7"/>
    <w:rsid w:val="003C3701"/>
    <w:rsid w:val="003C5C49"/>
    <w:rsid w:val="003D3A97"/>
    <w:rsid w:val="004030E2"/>
    <w:rsid w:val="00403CB5"/>
    <w:rsid w:val="00404F7D"/>
    <w:rsid w:val="00406EAE"/>
    <w:rsid w:val="00414A19"/>
    <w:rsid w:val="0042656D"/>
    <w:rsid w:val="0044655B"/>
    <w:rsid w:val="00452E71"/>
    <w:rsid w:val="00460DCE"/>
    <w:rsid w:val="00487CEB"/>
    <w:rsid w:val="00490CBC"/>
    <w:rsid w:val="004A34DA"/>
    <w:rsid w:val="004E203D"/>
    <w:rsid w:val="004E5931"/>
    <w:rsid w:val="004F2D07"/>
    <w:rsid w:val="004F6DEF"/>
    <w:rsid w:val="00506E05"/>
    <w:rsid w:val="00510292"/>
    <w:rsid w:val="005128CE"/>
    <w:rsid w:val="0051299B"/>
    <w:rsid w:val="00517FC3"/>
    <w:rsid w:val="00522537"/>
    <w:rsid w:val="00524F95"/>
    <w:rsid w:val="00543A54"/>
    <w:rsid w:val="00552781"/>
    <w:rsid w:val="00573BB9"/>
    <w:rsid w:val="00591F09"/>
    <w:rsid w:val="005A6912"/>
    <w:rsid w:val="005B44CD"/>
    <w:rsid w:val="005C63DA"/>
    <w:rsid w:val="005E168E"/>
    <w:rsid w:val="005E2D54"/>
    <w:rsid w:val="005E48A0"/>
    <w:rsid w:val="005F6FCD"/>
    <w:rsid w:val="006260A3"/>
    <w:rsid w:val="00636D6A"/>
    <w:rsid w:val="00644CEA"/>
    <w:rsid w:val="006468EF"/>
    <w:rsid w:val="0067287C"/>
    <w:rsid w:val="006740F6"/>
    <w:rsid w:val="00687091"/>
    <w:rsid w:val="0069079D"/>
    <w:rsid w:val="00690D4B"/>
    <w:rsid w:val="00692D4F"/>
    <w:rsid w:val="006A6938"/>
    <w:rsid w:val="006B0C0A"/>
    <w:rsid w:val="006B50FF"/>
    <w:rsid w:val="006C6F52"/>
    <w:rsid w:val="006E19B6"/>
    <w:rsid w:val="007208CA"/>
    <w:rsid w:val="00733693"/>
    <w:rsid w:val="00736976"/>
    <w:rsid w:val="00755D5C"/>
    <w:rsid w:val="007701E7"/>
    <w:rsid w:val="00773DB4"/>
    <w:rsid w:val="007C1BCC"/>
    <w:rsid w:val="007D2624"/>
    <w:rsid w:val="007F1F2A"/>
    <w:rsid w:val="00823646"/>
    <w:rsid w:val="008246F4"/>
    <w:rsid w:val="00825E04"/>
    <w:rsid w:val="0083693A"/>
    <w:rsid w:val="00840AD6"/>
    <w:rsid w:val="00850394"/>
    <w:rsid w:val="00853F17"/>
    <w:rsid w:val="00876F53"/>
    <w:rsid w:val="00880991"/>
    <w:rsid w:val="00881F59"/>
    <w:rsid w:val="00882D6E"/>
    <w:rsid w:val="008A0972"/>
    <w:rsid w:val="008A0B61"/>
    <w:rsid w:val="008A475D"/>
    <w:rsid w:val="008B1B8C"/>
    <w:rsid w:val="008C6222"/>
    <w:rsid w:val="008D745A"/>
    <w:rsid w:val="008E2A1F"/>
    <w:rsid w:val="008F5D47"/>
    <w:rsid w:val="00906BA7"/>
    <w:rsid w:val="009262E5"/>
    <w:rsid w:val="00927B76"/>
    <w:rsid w:val="00927EE7"/>
    <w:rsid w:val="00941C33"/>
    <w:rsid w:val="00972FD4"/>
    <w:rsid w:val="009775AA"/>
    <w:rsid w:val="00984EFC"/>
    <w:rsid w:val="009A0F83"/>
    <w:rsid w:val="009B5FCF"/>
    <w:rsid w:val="009C28B3"/>
    <w:rsid w:val="009C79EB"/>
    <w:rsid w:val="009D5022"/>
    <w:rsid w:val="009E044D"/>
    <w:rsid w:val="00A0031B"/>
    <w:rsid w:val="00A14BD4"/>
    <w:rsid w:val="00A15543"/>
    <w:rsid w:val="00A22A02"/>
    <w:rsid w:val="00A24860"/>
    <w:rsid w:val="00A3175B"/>
    <w:rsid w:val="00A51C9D"/>
    <w:rsid w:val="00A65B07"/>
    <w:rsid w:val="00A95F19"/>
    <w:rsid w:val="00A977F1"/>
    <w:rsid w:val="00AB3327"/>
    <w:rsid w:val="00AC0EDF"/>
    <w:rsid w:val="00AC2C64"/>
    <w:rsid w:val="00AD5B78"/>
    <w:rsid w:val="00AE0331"/>
    <w:rsid w:val="00AE3355"/>
    <w:rsid w:val="00AF2CD0"/>
    <w:rsid w:val="00B12EFE"/>
    <w:rsid w:val="00B17A55"/>
    <w:rsid w:val="00B23C4F"/>
    <w:rsid w:val="00B3321B"/>
    <w:rsid w:val="00B34FBA"/>
    <w:rsid w:val="00B5052C"/>
    <w:rsid w:val="00B55190"/>
    <w:rsid w:val="00BB7C4F"/>
    <w:rsid w:val="00BC1A00"/>
    <w:rsid w:val="00BE067C"/>
    <w:rsid w:val="00C11CB0"/>
    <w:rsid w:val="00C11ECC"/>
    <w:rsid w:val="00C12A37"/>
    <w:rsid w:val="00C12A90"/>
    <w:rsid w:val="00C12F7D"/>
    <w:rsid w:val="00C154B6"/>
    <w:rsid w:val="00C23F46"/>
    <w:rsid w:val="00C31B89"/>
    <w:rsid w:val="00C5780D"/>
    <w:rsid w:val="00C672E2"/>
    <w:rsid w:val="00C77D1E"/>
    <w:rsid w:val="00C94B35"/>
    <w:rsid w:val="00C964B8"/>
    <w:rsid w:val="00CA2A96"/>
    <w:rsid w:val="00CB1117"/>
    <w:rsid w:val="00CC131E"/>
    <w:rsid w:val="00CC66AA"/>
    <w:rsid w:val="00CC73CE"/>
    <w:rsid w:val="00CF3197"/>
    <w:rsid w:val="00D03B28"/>
    <w:rsid w:val="00D27775"/>
    <w:rsid w:val="00D41382"/>
    <w:rsid w:val="00D56164"/>
    <w:rsid w:val="00D705A1"/>
    <w:rsid w:val="00D7130E"/>
    <w:rsid w:val="00DB2F35"/>
    <w:rsid w:val="00DD0A09"/>
    <w:rsid w:val="00DD3163"/>
    <w:rsid w:val="00DE7EFC"/>
    <w:rsid w:val="00DF0A81"/>
    <w:rsid w:val="00DF7740"/>
    <w:rsid w:val="00E00ACF"/>
    <w:rsid w:val="00E26403"/>
    <w:rsid w:val="00E31EBA"/>
    <w:rsid w:val="00E46577"/>
    <w:rsid w:val="00E65CA0"/>
    <w:rsid w:val="00EB3A5A"/>
    <w:rsid w:val="00ED00D1"/>
    <w:rsid w:val="00ED7097"/>
    <w:rsid w:val="00EE2DDC"/>
    <w:rsid w:val="00EF0030"/>
    <w:rsid w:val="00EF3353"/>
    <w:rsid w:val="00EF7A34"/>
    <w:rsid w:val="00F30437"/>
    <w:rsid w:val="00F365D6"/>
    <w:rsid w:val="00F369E0"/>
    <w:rsid w:val="00F429B8"/>
    <w:rsid w:val="00F47492"/>
    <w:rsid w:val="00F54ECA"/>
    <w:rsid w:val="00F57816"/>
    <w:rsid w:val="00F60ABC"/>
    <w:rsid w:val="00F74530"/>
    <w:rsid w:val="00F823DD"/>
    <w:rsid w:val="00F844A7"/>
    <w:rsid w:val="00F8455C"/>
    <w:rsid w:val="00FA4D25"/>
    <w:rsid w:val="00FD193F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2C3A4A9-D793-417E-8C90-CC5B6F4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26BF3-86FE-4818-A682-F5F1C84F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2173</TotalTime>
  <Pages>2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Jose William Casallas Fandiño</cp:lastModifiedBy>
  <cp:revision>105</cp:revision>
  <cp:lastPrinted>2014-10-07T21:24:00Z</cp:lastPrinted>
  <dcterms:created xsi:type="dcterms:W3CDTF">2015-03-17T20:05:00Z</dcterms:created>
  <dcterms:modified xsi:type="dcterms:W3CDTF">2016-03-11T15:26:00Z</dcterms:modified>
</cp:coreProperties>
</file>