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1F" w:rsidRPr="000C05AE" w:rsidRDefault="00296C1F" w:rsidP="00296C1F">
      <w:pPr>
        <w:pBdr>
          <w:bottom w:val="single" w:sz="8" w:space="4" w:color="4F81BD"/>
        </w:pBdr>
        <w:spacing w:after="300" w:line="240" w:lineRule="auto"/>
        <w:contextualSpacing/>
        <w:jc w:val="center"/>
        <w:rPr>
          <w:rFonts w:ascii="Cambria" w:eastAsia="Times New Roman" w:hAnsi="Cambria"/>
          <w:color w:val="17365D"/>
          <w:spacing w:val="5"/>
          <w:kern w:val="28"/>
          <w:sz w:val="28"/>
          <w:szCs w:val="28"/>
        </w:rPr>
      </w:pPr>
    </w:p>
    <w:p w:rsidR="00296C1F" w:rsidRPr="000C05AE" w:rsidRDefault="00296C1F" w:rsidP="00296C1F">
      <w:pPr>
        <w:pBdr>
          <w:bottom w:val="single" w:sz="8" w:space="4" w:color="4F81BD"/>
        </w:pBdr>
        <w:spacing w:after="300" w:line="240" w:lineRule="auto"/>
        <w:contextualSpacing/>
        <w:jc w:val="center"/>
        <w:rPr>
          <w:rFonts w:ascii="Cambria" w:eastAsia="Times New Roman" w:hAnsi="Cambria"/>
          <w:color w:val="17365D"/>
          <w:spacing w:val="5"/>
          <w:kern w:val="28"/>
          <w:sz w:val="28"/>
          <w:szCs w:val="28"/>
        </w:rPr>
      </w:pPr>
      <w:r w:rsidRPr="000C05AE">
        <w:rPr>
          <w:rFonts w:ascii="Cambria" w:eastAsia="Times New Roman" w:hAnsi="Cambria"/>
          <w:color w:val="17365D"/>
          <w:spacing w:val="5"/>
          <w:kern w:val="28"/>
          <w:sz w:val="28"/>
          <w:szCs w:val="28"/>
        </w:rPr>
        <w:t>INFORME AUDITORÍAS INTERNA</w:t>
      </w:r>
      <w:r w:rsidR="00711FA6">
        <w:rPr>
          <w:rFonts w:ascii="Cambria" w:eastAsia="Times New Roman" w:hAnsi="Cambria"/>
          <w:color w:val="17365D"/>
          <w:spacing w:val="5"/>
          <w:kern w:val="28"/>
          <w:sz w:val="28"/>
          <w:szCs w:val="28"/>
        </w:rPr>
        <w:t>S DE GESTIÓN Y CALIDAD PRIMER</w:t>
      </w:r>
      <w:r w:rsidR="00220932" w:rsidRPr="000C05AE">
        <w:rPr>
          <w:rFonts w:ascii="Cambria" w:eastAsia="Times New Roman" w:hAnsi="Cambria"/>
          <w:color w:val="17365D"/>
          <w:spacing w:val="5"/>
          <w:kern w:val="28"/>
          <w:sz w:val="28"/>
          <w:szCs w:val="28"/>
        </w:rPr>
        <w:t xml:space="preserve"> I TRIMESTRE DEL 2015</w:t>
      </w: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spacing w:after="0"/>
        <w:jc w:val="both"/>
        <w:rPr>
          <w:rFonts w:ascii="Arial" w:eastAsia="Times New Roman" w:hAnsi="Arial" w:cs="Arial"/>
          <w:sz w:val="24"/>
          <w:szCs w:val="24"/>
          <w:lang w:val="es-CO" w:eastAsia="es-ES"/>
        </w:rPr>
      </w:pPr>
    </w:p>
    <w:p w:rsidR="00296C1F" w:rsidRPr="009E05F6" w:rsidRDefault="00296C1F" w:rsidP="00296C1F">
      <w:pPr>
        <w:spacing w:after="0"/>
        <w:rPr>
          <w:rFonts w:ascii="Arial" w:eastAsia="Times New Roman" w:hAnsi="Arial" w:cs="Arial"/>
          <w:sz w:val="24"/>
          <w:szCs w:val="24"/>
          <w:lang w:val="es-CO" w:eastAsia="es-ES"/>
        </w:rPr>
      </w:pPr>
    </w:p>
    <w:p w:rsidR="00296C1F" w:rsidRPr="009E05F6" w:rsidRDefault="00296C1F" w:rsidP="00296C1F">
      <w:pPr>
        <w:spacing w:after="0" w:line="240" w:lineRule="auto"/>
        <w:rPr>
          <w:rFonts w:ascii="Arial" w:eastAsia="Times New Roman" w:hAnsi="Arial" w:cs="Arial"/>
          <w:sz w:val="24"/>
          <w:szCs w:val="24"/>
          <w:lang w:val="es-CO" w:eastAsia="es-ES"/>
        </w:rPr>
      </w:pPr>
    </w:p>
    <w:p w:rsidR="00296C1F" w:rsidRPr="009E05F6" w:rsidRDefault="00296C1F" w:rsidP="00296C1F">
      <w:pPr>
        <w:pStyle w:val="Prrafodelista"/>
        <w:numPr>
          <w:ilvl w:val="0"/>
          <w:numId w:val="11"/>
        </w:numPr>
        <w:spacing w:after="0" w:line="240" w:lineRule="auto"/>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OBJETIVO</w:t>
      </w:r>
    </w:p>
    <w:p w:rsidR="00296C1F" w:rsidRPr="009E05F6" w:rsidRDefault="00296C1F" w:rsidP="00296C1F">
      <w:pPr>
        <w:pStyle w:val="Prrafodelista"/>
        <w:numPr>
          <w:ilvl w:val="0"/>
          <w:numId w:val="11"/>
        </w:numPr>
        <w:spacing w:after="0" w:line="240" w:lineRule="auto"/>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ALCANCE</w:t>
      </w:r>
    </w:p>
    <w:p w:rsidR="00296C1F" w:rsidRPr="009E05F6" w:rsidRDefault="00296C1F" w:rsidP="00296C1F">
      <w:pPr>
        <w:pStyle w:val="Prrafodelista"/>
        <w:spacing w:after="0"/>
        <w:ind w:left="360"/>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2.1 Criterios de Auditoría</w:t>
      </w:r>
    </w:p>
    <w:p w:rsidR="00296C1F" w:rsidRPr="009E05F6" w:rsidRDefault="00296C1F" w:rsidP="00296C1F">
      <w:pPr>
        <w:pStyle w:val="Prrafodelista"/>
        <w:numPr>
          <w:ilvl w:val="0"/>
          <w:numId w:val="11"/>
        </w:numPr>
        <w:spacing w:after="0"/>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METODOLOGÍA</w:t>
      </w:r>
    </w:p>
    <w:p w:rsidR="00296C1F" w:rsidRPr="009E05F6" w:rsidRDefault="00296C1F" w:rsidP="00296C1F">
      <w:pPr>
        <w:pStyle w:val="Prrafodelista"/>
        <w:numPr>
          <w:ilvl w:val="0"/>
          <w:numId w:val="11"/>
        </w:numPr>
        <w:spacing w:after="0"/>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RESULTADOS</w:t>
      </w:r>
    </w:p>
    <w:p w:rsidR="00296C1F" w:rsidRPr="009E05F6" w:rsidRDefault="00296C1F" w:rsidP="00296C1F">
      <w:pPr>
        <w:pStyle w:val="Prrafodelista"/>
        <w:spacing w:after="0"/>
        <w:ind w:left="360"/>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4.1</w:t>
      </w:r>
      <w:r w:rsidR="00BC714A">
        <w:rPr>
          <w:rFonts w:ascii="Arial" w:eastAsia="Times New Roman" w:hAnsi="Arial" w:cs="Arial"/>
          <w:sz w:val="24"/>
          <w:szCs w:val="24"/>
          <w:lang w:val="es-CO" w:eastAsia="es-ES"/>
        </w:rPr>
        <w:t xml:space="preserve"> Oportunidades de M</w:t>
      </w:r>
      <w:r w:rsidRPr="009E05F6">
        <w:rPr>
          <w:rFonts w:ascii="Arial" w:eastAsia="Times New Roman" w:hAnsi="Arial" w:cs="Arial"/>
          <w:sz w:val="24"/>
          <w:szCs w:val="24"/>
          <w:lang w:val="es-CO" w:eastAsia="es-ES"/>
        </w:rPr>
        <w:t>ejora</w:t>
      </w:r>
      <w:r w:rsidR="00BC714A">
        <w:rPr>
          <w:rFonts w:ascii="Arial" w:eastAsia="Times New Roman" w:hAnsi="Arial" w:cs="Arial"/>
          <w:sz w:val="24"/>
          <w:szCs w:val="24"/>
          <w:lang w:val="es-CO" w:eastAsia="es-ES"/>
        </w:rPr>
        <w:t xml:space="preserve"> (OM)</w:t>
      </w:r>
    </w:p>
    <w:p w:rsidR="00BC714A" w:rsidRDefault="00296C1F" w:rsidP="00296C1F">
      <w:pPr>
        <w:pStyle w:val="Prrafodelista"/>
        <w:spacing w:after="0"/>
        <w:ind w:left="360"/>
        <w:jc w:val="both"/>
        <w:rPr>
          <w:rFonts w:ascii="Arial" w:hAnsi="Arial" w:cs="Arial"/>
          <w:bCs/>
          <w:sz w:val="24"/>
          <w:szCs w:val="24"/>
          <w:lang w:val="es-CO"/>
        </w:rPr>
      </w:pPr>
      <w:r w:rsidRPr="009E05F6">
        <w:rPr>
          <w:rFonts w:ascii="Arial" w:hAnsi="Arial" w:cs="Arial"/>
          <w:bCs/>
          <w:sz w:val="24"/>
          <w:szCs w:val="24"/>
          <w:lang w:val="es-CO"/>
        </w:rPr>
        <w:t xml:space="preserve">4.2 </w:t>
      </w:r>
      <w:r w:rsidR="00BC714A">
        <w:rPr>
          <w:rFonts w:ascii="Arial" w:eastAsia="Times New Roman" w:hAnsi="Arial" w:cs="Arial"/>
          <w:sz w:val="24"/>
          <w:szCs w:val="24"/>
          <w:lang w:val="es-CO" w:eastAsia="es-ES"/>
        </w:rPr>
        <w:t>No Conformidades (NC)</w:t>
      </w:r>
    </w:p>
    <w:p w:rsidR="00BC714A" w:rsidRPr="009E05F6" w:rsidRDefault="00BC714A" w:rsidP="00BC714A">
      <w:pPr>
        <w:pStyle w:val="Prrafodelista"/>
        <w:spacing w:after="0"/>
        <w:ind w:left="360"/>
        <w:jc w:val="both"/>
        <w:rPr>
          <w:rFonts w:ascii="Arial" w:eastAsia="Times New Roman" w:hAnsi="Arial" w:cs="Arial"/>
          <w:sz w:val="24"/>
          <w:szCs w:val="24"/>
          <w:lang w:val="es-CO" w:eastAsia="es-ES"/>
        </w:rPr>
      </w:pPr>
      <w:r>
        <w:rPr>
          <w:rFonts w:ascii="Arial" w:hAnsi="Arial" w:cs="Arial"/>
          <w:bCs/>
          <w:sz w:val="24"/>
          <w:szCs w:val="24"/>
          <w:lang w:val="es-CO"/>
        </w:rPr>
        <w:t>4.3</w:t>
      </w:r>
      <w:r w:rsidRPr="00BC714A">
        <w:rPr>
          <w:rFonts w:ascii="Arial" w:eastAsia="Times New Roman" w:hAnsi="Arial" w:cs="Arial"/>
          <w:sz w:val="24"/>
          <w:szCs w:val="24"/>
          <w:lang w:val="es-CO" w:eastAsia="es-ES"/>
        </w:rPr>
        <w:t xml:space="preserve"> </w:t>
      </w:r>
      <w:r w:rsidRPr="009E05F6">
        <w:rPr>
          <w:rFonts w:ascii="Arial" w:eastAsia="Times New Roman" w:hAnsi="Arial" w:cs="Arial"/>
          <w:sz w:val="24"/>
          <w:szCs w:val="24"/>
          <w:lang w:val="es-CO" w:eastAsia="es-ES"/>
        </w:rPr>
        <w:t xml:space="preserve">Consolidado de  </w:t>
      </w:r>
      <w:r>
        <w:rPr>
          <w:rFonts w:ascii="Arial" w:eastAsia="Times New Roman" w:hAnsi="Arial" w:cs="Arial"/>
          <w:sz w:val="24"/>
          <w:szCs w:val="24"/>
          <w:lang w:val="es-CO" w:eastAsia="es-ES"/>
        </w:rPr>
        <w:t>no conformidades</w:t>
      </w:r>
      <w:r w:rsidRPr="009E05F6">
        <w:rPr>
          <w:rFonts w:ascii="Arial" w:eastAsia="Times New Roman" w:hAnsi="Arial" w:cs="Arial"/>
          <w:sz w:val="24"/>
          <w:szCs w:val="24"/>
          <w:lang w:val="es-CO" w:eastAsia="es-ES"/>
        </w:rPr>
        <w:t xml:space="preserve"> y oportunidades de mejora</w:t>
      </w:r>
    </w:p>
    <w:p w:rsidR="00BC714A" w:rsidRPr="009E05F6" w:rsidRDefault="00BC714A" w:rsidP="00296C1F">
      <w:pPr>
        <w:pStyle w:val="Prrafodelista"/>
        <w:spacing w:after="0"/>
        <w:ind w:left="360"/>
        <w:jc w:val="both"/>
        <w:rPr>
          <w:rFonts w:ascii="Arial" w:hAnsi="Arial" w:cs="Arial"/>
          <w:bCs/>
          <w:sz w:val="24"/>
          <w:szCs w:val="24"/>
          <w:lang w:val="es-CO"/>
        </w:rPr>
      </w:pPr>
      <w:r>
        <w:rPr>
          <w:rFonts w:ascii="Arial" w:hAnsi="Arial" w:cs="Arial"/>
          <w:bCs/>
          <w:sz w:val="24"/>
          <w:szCs w:val="24"/>
          <w:lang w:val="es-CO"/>
        </w:rPr>
        <w:t>4.4</w:t>
      </w:r>
      <w:r w:rsidRPr="00BC714A">
        <w:rPr>
          <w:rFonts w:ascii="Arial" w:hAnsi="Arial" w:cs="Arial"/>
          <w:bCs/>
          <w:sz w:val="24"/>
          <w:szCs w:val="24"/>
          <w:lang w:val="es-CO"/>
        </w:rPr>
        <w:t xml:space="preserve"> </w:t>
      </w:r>
      <w:r w:rsidRPr="009E05F6">
        <w:rPr>
          <w:rFonts w:ascii="Arial" w:hAnsi="Arial" w:cs="Arial"/>
          <w:bCs/>
          <w:sz w:val="24"/>
          <w:szCs w:val="24"/>
          <w:lang w:val="es-CO"/>
        </w:rPr>
        <w:t>Resultado comparativo con la vigencia del 2014</w:t>
      </w:r>
    </w:p>
    <w:p w:rsidR="00296C1F" w:rsidRPr="009E05F6" w:rsidRDefault="00296C1F" w:rsidP="00296C1F">
      <w:pPr>
        <w:pStyle w:val="Prrafodelista"/>
        <w:numPr>
          <w:ilvl w:val="0"/>
          <w:numId w:val="12"/>
        </w:numPr>
        <w:spacing w:after="0"/>
        <w:ind w:left="284" w:hanging="284"/>
        <w:jc w:val="both"/>
        <w:rPr>
          <w:rFonts w:ascii="Arial" w:hAnsi="Arial" w:cs="Arial"/>
          <w:bCs/>
          <w:sz w:val="24"/>
          <w:szCs w:val="24"/>
          <w:lang w:val="es-CO"/>
        </w:rPr>
      </w:pPr>
      <w:r w:rsidRPr="009E05F6">
        <w:rPr>
          <w:rFonts w:ascii="Arial" w:hAnsi="Arial" w:cs="Arial"/>
          <w:bCs/>
          <w:sz w:val="24"/>
          <w:szCs w:val="24"/>
          <w:lang w:val="es-CO"/>
        </w:rPr>
        <w:t xml:space="preserve"> CONCLUSIONES</w:t>
      </w:r>
    </w:p>
    <w:p w:rsidR="00296C1F" w:rsidRPr="009E05F6" w:rsidRDefault="00296C1F" w:rsidP="00296C1F">
      <w:pPr>
        <w:pStyle w:val="Prrafodelista"/>
        <w:numPr>
          <w:ilvl w:val="0"/>
          <w:numId w:val="12"/>
        </w:numPr>
        <w:spacing w:after="0"/>
        <w:ind w:left="284" w:hanging="284"/>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 xml:space="preserve"> RECOMENDACIONES</w:t>
      </w:r>
    </w:p>
    <w:p w:rsidR="00296C1F" w:rsidRPr="009E05F6" w:rsidRDefault="00296C1F" w:rsidP="00296C1F">
      <w:pPr>
        <w:pStyle w:val="Prrafodelista"/>
        <w:numPr>
          <w:ilvl w:val="0"/>
          <w:numId w:val="12"/>
        </w:numPr>
        <w:spacing w:after="0"/>
        <w:ind w:left="284" w:hanging="284"/>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 xml:space="preserve"> ANEXOS</w:t>
      </w:r>
    </w:p>
    <w:p w:rsidR="00296C1F" w:rsidRPr="009E05F6" w:rsidRDefault="00296C1F" w:rsidP="00296C1F">
      <w:pPr>
        <w:pStyle w:val="Prrafodelista"/>
        <w:spacing w:after="0"/>
        <w:ind w:left="426"/>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7.1 Cuadro resumen del análisis del resultado: Oportunidades de mejora</w:t>
      </w:r>
    </w:p>
    <w:p w:rsidR="00296C1F" w:rsidRPr="009E05F6" w:rsidRDefault="00296C1F" w:rsidP="00296C1F">
      <w:pPr>
        <w:spacing w:after="0"/>
        <w:ind w:left="426"/>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 xml:space="preserve">7.2 Cuadro resumen del análisis del resultado: </w:t>
      </w:r>
      <w:r w:rsidR="00FE0ADC">
        <w:rPr>
          <w:rFonts w:ascii="Arial" w:eastAsia="Times New Roman" w:hAnsi="Arial" w:cs="Arial"/>
          <w:sz w:val="24"/>
          <w:szCs w:val="24"/>
          <w:lang w:val="es-CO" w:eastAsia="es-ES"/>
        </w:rPr>
        <w:t>No conformidades</w:t>
      </w:r>
    </w:p>
    <w:p w:rsidR="00296C1F" w:rsidRPr="009E05F6" w:rsidRDefault="00296C1F" w:rsidP="00296C1F">
      <w:pPr>
        <w:spacing w:after="0"/>
        <w:jc w:val="both"/>
        <w:rPr>
          <w:rFonts w:ascii="Arial" w:eastAsia="Times New Roman" w:hAnsi="Arial" w:cs="Arial"/>
          <w:sz w:val="24"/>
          <w:szCs w:val="24"/>
          <w:lang w:val="es-CO" w:eastAsia="es-ES"/>
        </w:rPr>
      </w:pPr>
    </w:p>
    <w:p w:rsidR="00296C1F" w:rsidRPr="009E05F6" w:rsidRDefault="00296C1F" w:rsidP="00296C1F">
      <w:pPr>
        <w:spacing w:after="0"/>
        <w:jc w:val="both"/>
        <w:rPr>
          <w:rFonts w:ascii="Arial" w:eastAsia="Times New Roman" w:hAnsi="Arial" w:cs="Arial"/>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tabs>
          <w:tab w:val="left" w:pos="142"/>
        </w:tabs>
        <w:spacing w:after="0" w:line="360" w:lineRule="auto"/>
        <w:rPr>
          <w:rFonts w:ascii="Arial" w:eastAsia="Times New Roman" w:hAnsi="Arial" w:cs="Arial"/>
          <w:b/>
          <w:sz w:val="24"/>
          <w:szCs w:val="24"/>
          <w:lang w:val="es-CO" w:eastAsia="es-ES"/>
        </w:rPr>
      </w:pPr>
    </w:p>
    <w:p w:rsidR="00296C1F" w:rsidRDefault="00296C1F" w:rsidP="00296C1F">
      <w:pPr>
        <w:tabs>
          <w:tab w:val="left" w:pos="142"/>
        </w:tabs>
        <w:spacing w:after="0" w:line="360" w:lineRule="auto"/>
        <w:rPr>
          <w:rFonts w:ascii="Arial" w:eastAsia="Times New Roman" w:hAnsi="Arial" w:cs="Arial"/>
          <w:b/>
          <w:sz w:val="24"/>
          <w:szCs w:val="24"/>
          <w:lang w:val="es-CO" w:eastAsia="es-ES"/>
        </w:rPr>
      </w:pPr>
    </w:p>
    <w:p w:rsidR="00C87192" w:rsidRPr="009E05F6" w:rsidRDefault="00C87192" w:rsidP="00296C1F">
      <w:pPr>
        <w:tabs>
          <w:tab w:val="left" w:pos="142"/>
        </w:tabs>
        <w:spacing w:after="0" w:line="360" w:lineRule="auto"/>
        <w:rPr>
          <w:rFonts w:ascii="Arial" w:eastAsia="Times New Roman" w:hAnsi="Arial" w:cs="Arial"/>
          <w:b/>
          <w:sz w:val="24"/>
          <w:szCs w:val="24"/>
          <w:lang w:val="es-CO" w:eastAsia="es-ES"/>
        </w:rPr>
      </w:pPr>
    </w:p>
    <w:p w:rsidR="000C05AE" w:rsidRDefault="000C05AE" w:rsidP="00296C1F">
      <w:pPr>
        <w:tabs>
          <w:tab w:val="left" w:pos="142"/>
        </w:tabs>
        <w:spacing w:after="0" w:line="360" w:lineRule="auto"/>
        <w:rPr>
          <w:rFonts w:ascii="Arial" w:eastAsia="Times New Roman" w:hAnsi="Arial" w:cs="Arial"/>
          <w:b/>
          <w:sz w:val="24"/>
          <w:szCs w:val="24"/>
          <w:lang w:val="es-CO" w:eastAsia="es-ES"/>
        </w:rPr>
      </w:pPr>
    </w:p>
    <w:p w:rsidR="00C87192" w:rsidRDefault="00C87192" w:rsidP="00296C1F">
      <w:pPr>
        <w:tabs>
          <w:tab w:val="left" w:pos="142"/>
        </w:tabs>
        <w:spacing w:after="0" w:line="360" w:lineRule="auto"/>
        <w:rPr>
          <w:rFonts w:ascii="Arial" w:eastAsia="Times New Roman" w:hAnsi="Arial" w:cs="Arial"/>
          <w:b/>
          <w:sz w:val="24"/>
          <w:szCs w:val="24"/>
          <w:lang w:val="es-CO" w:eastAsia="es-ES"/>
        </w:rPr>
      </w:pPr>
    </w:p>
    <w:p w:rsidR="00C87192" w:rsidRDefault="00C87192" w:rsidP="00296C1F">
      <w:pPr>
        <w:tabs>
          <w:tab w:val="left" w:pos="142"/>
        </w:tabs>
        <w:spacing w:after="0" w:line="360" w:lineRule="auto"/>
        <w:rPr>
          <w:rFonts w:ascii="Arial" w:eastAsia="Times New Roman" w:hAnsi="Arial" w:cs="Arial"/>
          <w:b/>
          <w:sz w:val="24"/>
          <w:szCs w:val="24"/>
          <w:lang w:val="es-CO" w:eastAsia="es-ES"/>
        </w:rPr>
      </w:pPr>
    </w:p>
    <w:p w:rsidR="00C87192" w:rsidRDefault="00C87192" w:rsidP="00296C1F">
      <w:pPr>
        <w:tabs>
          <w:tab w:val="left" w:pos="142"/>
        </w:tabs>
        <w:spacing w:after="0" w:line="360" w:lineRule="auto"/>
        <w:rPr>
          <w:rFonts w:ascii="Arial" w:eastAsia="Times New Roman" w:hAnsi="Arial" w:cs="Arial"/>
          <w:b/>
          <w:sz w:val="24"/>
          <w:szCs w:val="24"/>
          <w:lang w:val="es-CO" w:eastAsia="es-ES"/>
        </w:rPr>
      </w:pPr>
    </w:p>
    <w:p w:rsidR="00C87192" w:rsidRDefault="00C87192" w:rsidP="00296C1F">
      <w:pPr>
        <w:tabs>
          <w:tab w:val="left" w:pos="142"/>
        </w:tabs>
        <w:spacing w:after="0" w:line="360" w:lineRule="auto"/>
        <w:rPr>
          <w:rFonts w:ascii="Arial" w:eastAsia="Times New Roman" w:hAnsi="Arial" w:cs="Arial"/>
          <w:b/>
          <w:sz w:val="24"/>
          <w:szCs w:val="24"/>
          <w:lang w:val="es-CO" w:eastAsia="es-ES"/>
        </w:rPr>
      </w:pPr>
    </w:p>
    <w:p w:rsidR="00C87192" w:rsidRDefault="00C87192" w:rsidP="00296C1F">
      <w:pPr>
        <w:tabs>
          <w:tab w:val="left" w:pos="142"/>
        </w:tabs>
        <w:spacing w:after="0" w:line="360" w:lineRule="auto"/>
        <w:rPr>
          <w:rFonts w:ascii="Arial" w:eastAsia="Times New Roman" w:hAnsi="Arial" w:cs="Arial"/>
          <w:b/>
          <w:sz w:val="24"/>
          <w:szCs w:val="24"/>
          <w:lang w:val="es-CO" w:eastAsia="es-ES"/>
        </w:rPr>
      </w:pPr>
    </w:p>
    <w:p w:rsidR="00296C1F" w:rsidRPr="009E05F6" w:rsidRDefault="00296C1F" w:rsidP="00296C1F">
      <w:pPr>
        <w:numPr>
          <w:ilvl w:val="0"/>
          <w:numId w:val="7"/>
        </w:numPr>
        <w:tabs>
          <w:tab w:val="left" w:pos="142"/>
        </w:tabs>
        <w:spacing w:after="0" w:line="240" w:lineRule="auto"/>
        <w:ind w:left="502"/>
        <w:contextualSpacing/>
        <w:jc w:val="both"/>
        <w:rPr>
          <w:rFonts w:ascii="Arial" w:eastAsia="Times New Roman" w:hAnsi="Arial" w:cs="Arial"/>
          <w:b/>
          <w:sz w:val="24"/>
          <w:szCs w:val="24"/>
          <w:lang w:val="es-CO" w:eastAsia="es-ES"/>
        </w:rPr>
      </w:pPr>
      <w:r w:rsidRPr="009E05F6">
        <w:rPr>
          <w:rFonts w:ascii="Arial" w:eastAsia="Times New Roman" w:hAnsi="Arial" w:cs="Arial"/>
          <w:b/>
          <w:sz w:val="24"/>
          <w:szCs w:val="24"/>
          <w:lang w:val="es-CO" w:eastAsia="es-ES"/>
        </w:rPr>
        <w:t>OBJETIVO</w:t>
      </w:r>
    </w:p>
    <w:p w:rsidR="00296C1F" w:rsidRPr="009E05F6" w:rsidRDefault="00296C1F" w:rsidP="00296C1F">
      <w:pPr>
        <w:tabs>
          <w:tab w:val="left" w:pos="142"/>
        </w:tabs>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spacing w:after="0" w:line="240" w:lineRule="auto"/>
        <w:ind w:left="502"/>
        <w:contextualSpacing/>
        <w:jc w:val="both"/>
        <w:rPr>
          <w:rFonts w:ascii="Arial" w:eastAsia="Times New Roman" w:hAnsi="Arial" w:cs="Arial"/>
          <w:b/>
          <w:sz w:val="24"/>
          <w:szCs w:val="24"/>
          <w:lang w:val="es-CO" w:eastAsia="es-ES"/>
        </w:rPr>
      </w:pPr>
    </w:p>
    <w:p w:rsidR="00296C1F" w:rsidRDefault="00296C1F" w:rsidP="00296C1F">
      <w:pPr>
        <w:tabs>
          <w:tab w:val="left" w:pos="142"/>
        </w:tabs>
        <w:spacing w:after="0" w:line="240" w:lineRule="auto"/>
        <w:ind w:left="505"/>
        <w:contextualSpacing/>
        <w:jc w:val="both"/>
        <w:rPr>
          <w:rFonts w:ascii="Arial" w:eastAsia="Times New Roman" w:hAnsi="Arial" w:cs="Arial"/>
          <w:color w:val="FF0000"/>
          <w:sz w:val="24"/>
          <w:szCs w:val="24"/>
          <w:lang w:val="es-CO" w:eastAsia="es-ES"/>
        </w:rPr>
      </w:pPr>
      <w:r w:rsidRPr="009E05F6">
        <w:rPr>
          <w:rFonts w:ascii="Arial" w:eastAsia="Times New Roman" w:hAnsi="Arial" w:cs="Arial"/>
          <w:sz w:val="24"/>
          <w:szCs w:val="24"/>
          <w:lang w:val="es-CO" w:eastAsia="es-ES"/>
        </w:rPr>
        <w:t>El presente informe tiene como objetivo presentar el resultado de las Auditorías Internas a</w:t>
      </w:r>
      <w:r w:rsidR="00BC714A">
        <w:rPr>
          <w:rFonts w:ascii="Arial" w:eastAsia="Times New Roman" w:hAnsi="Arial" w:cs="Arial"/>
          <w:sz w:val="24"/>
          <w:szCs w:val="24"/>
          <w:lang w:val="es-CO" w:eastAsia="es-ES"/>
        </w:rPr>
        <w:t>l Sistema Integrado de Gestión (SIG)</w:t>
      </w:r>
      <w:r w:rsidRPr="009E05F6">
        <w:rPr>
          <w:rFonts w:ascii="Arial" w:eastAsia="Times New Roman" w:hAnsi="Arial" w:cs="Arial"/>
          <w:sz w:val="24"/>
          <w:szCs w:val="24"/>
          <w:lang w:val="es-CO" w:eastAsia="es-ES"/>
        </w:rPr>
        <w:t xml:space="preserve"> practicadas por la Oficina de Control Interno de la Superintendencia de</w:t>
      </w:r>
      <w:r w:rsidR="008D64D7" w:rsidRPr="009E05F6">
        <w:rPr>
          <w:rFonts w:ascii="Arial" w:eastAsia="Times New Roman" w:hAnsi="Arial" w:cs="Arial"/>
          <w:sz w:val="24"/>
          <w:szCs w:val="24"/>
          <w:lang w:val="es-CO" w:eastAsia="es-ES"/>
        </w:rPr>
        <w:t xml:space="preserve">l Subsidio Familiar </w:t>
      </w:r>
      <w:r w:rsidR="008D64D7" w:rsidRPr="00D409AD">
        <w:rPr>
          <w:rFonts w:ascii="Arial" w:eastAsia="Times New Roman" w:hAnsi="Arial" w:cs="Arial"/>
          <w:sz w:val="24"/>
          <w:szCs w:val="24"/>
          <w:lang w:val="es-CO" w:eastAsia="es-ES"/>
        </w:rPr>
        <w:t>en el primer trimestre del 2015</w:t>
      </w:r>
      <w:r w:rsidR="00D409AD" w:rsidRPr="00D409AD">
        <w:rPr>
          <w:rFonts w:ascii="Arial" w:eastAsia="Times New Roman" w:hAnsi="Arial" w:cs="Arial"/>
          <w:sz w:val="24"/>
          <w:szCs w:val="24"/>
          <w:lang w:val="es-CO" w:eastAsia="es-ES"/>
        </w:rPr>
        <w:t>.</w:t>
      </w:r>
    </w:p>
    <w:p w:rsidR="00D409AD" w:rsidRPr="009E05F6" w:rsidRDefault="00D409AD" w:rsidP="00296C1F">
      <w:pPr>
        <w:tabs>
          <w:tab w:val="left" w:pos="142"/>
        </w:tabs>
        <w:spacing w:after="0" w:line="240" w:lineRule="auto"/>
        <w:ind w:left="505"/>
        <w:contextualSpacing/>
        <w:jc w:val="both"/>
        <w:rPr>
          <w:rFonts w:ascii="Arial" w:eastAsia="Times New Roman" w:hAnsi="Arial" w:cs="Arial"/>
          <w:sz w:val="24"/>
          <w:szCs w:val="24"/>
          <w:lang w:val="es-CO" w:eastAsia="es-ES"/>
        </w:rPr>
      </w:pPr>
    </w:p>
    <w:p w:rsidR="00296C1F" w:rsidRPr="009E05F6" w:rsidRDefault="00296C1F" w:rsidP="00296C1F">
      <w:pPr>
        <w:tabs>
          <w:tab w:val="left" w:pos="142"/>
        </w:tabs>
        <w:spacing w:after="0" w:line="240" w:lineRule="auto"/>
        <w:ind w:left="505"/>
        <w:contextualSpacing/>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Los resultados de las Auditorías Internas -SIG- se presentan con el propósito de identificar las situaciones frecuentes y recurrentes que afectan la conformidad, el cumplimiento de los requisitos y sus controles, para que a partir de ellos los dueños de procesos formulen acciones de mejora preventivas y correctivas que permitan superarlas de manera eficiente y eficaz, en aras del mejoramiento continuo, principio fundamental del Sistema de Gestión de Calidad.</w:t>
      </w:r>
    </w:p>
    <w:p w:rsidR="00296C1F" w:rsidRPr="009E05F6" w:rsidRDefault="00296C1F" w:rsidP="00296C1F">
      <w:pPr>
        <w:tabs>
          <w:tab w:val="left" w:pos="142"/>
        </w:tabs>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numPr>
          <w:ilvl w:val="0"/>
          <w:numId w:val="7"/>
        </w:num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r w:rsidRPr="009E05F6">
        <w:rPr>
          <w:rFonts w:ascii="Arial" w:eastAsia="Times New Roman" w:hAnsi="Arial" w:cs="Arial"/>
          <w:b/>
          <w:sz w:val="24"/>
          <w:szCs w:val="24"/>
          <w:lang w:val="es-CO" w:eastAsia="es-ES"/>
        </w:rPr>
        <w:t>ALCANCE</w:t>
      </w:r>
    </w:p>
    <w:p w:rsidR="00296C1F" w:rsidRPr="009E05F6" w:rsidRDefault="00296C1F" w:rsidP="00296C1F">
      <w:pPr>
        <w:ind w:left="502"/>
        <w:contextualSpacing/>
        <w:jc w:val="both"/>
        <w:rPr>
          <w:rFonts w:ascii="Arial" w:eastAsia="Times New Roman" w:hAnsi="Arial" w:cs="Arial"/>
          <w:b/>
          <w:sz w:val="24"/>
          <w:szCs w:val="24"/>
          <w:lang w:val="es-CO" w:eastAsia="es-ES"/>
        </w:rPr>
      </w:pPr>
    </w:p>
    <w:p w:rsidR="00296C1F" w:rsidRPr="009E05F6" w:rsidRDefault="00296C1F" w:rsidP="00296C1F">
      <w:pPr>
        <w:ind w:left="502"/>
        <w:contextualSpacing/>
        <w:jc w:val="both"/>
        <w:rPr>
          <w:rFonts w:ascii="Arial" w:eastAsia="Times New Roman" w:hAnsi="Arial" w:cs="Arial"/>
          <w:b/>
          <w:sz w:val="24"/>
          <w:szCs w:val="24"/>
          <w:lang w:val="es-CO" w:eastAsia="es-ES"/>
        </w:rPr>
      </w:pPr>
    </w:p>
    <w:p w:rsidR="00D409AD" w:rsidRPr="00D409AD" w:rsidRDefault="00296C1F" w:rsidP="00D409AD">
      <w:pPr>
        <w:tabs>
          <w:tab w:val="left" w:pos="142"/>
        </w:tabs>
        <w:spacing w:after="0" w:line="240" w:lineRule="auto"/>
        <w:ind w:left="505"/>
        <w:contextualSpacing/>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El ciclo d</w:t>
      </w:r>
      <w:r w:rsidR="008D64D7" w:rsidRPr="009E05F6">
        <w:rPr>
          <w:rFonts w:ascii="Arial" w:eastAsia="Times New Roman" w:hAnsi="Arial" w:cs="Arial"/>
          <w:sz w:val="24"/>
          <w:szCs w:val="24"/>
          <w:lang w:val="es-CO" w:eastAsia="es-ES"/>
        </w:rPr>
        <w:t xml:space="preserve">e Auditorías Internas SIG del </w:t>
      </w:r>
      <w:r w:rsidR="0011640A">
        <w:rPr>
          <w:rFonts w:ascii="Arial" w:eastAsia="Times New Roman" w:hAnsi="Arial" w:cs="Arial"/>
          <w:sz w:val="24"/>
          <w:szCs w:val="24"/>
          <w:lang w:val="es-CO" w:eastAsia="es-ES"/>
        </w:rPr>
        <w:t>primer</w:t>
      </w:r>
      <w:r w:rsidR="008D64D7" w:rsidRPr="009E05F6">
        <w:rPr>
          <w:rFonts w:ascii="Arial" w:eastAsia="Times New Roman" w:hAnsi="Arial" w:cs="Arial"/>
          <w:sz w:val="24"/>
          <w:szCs w:val="24"/>
          <w:lang w:val="es-CO" w:eastAsia="es-ES"/>
        </w:rPr>
        <w:t xml:space="preserve"> trimestre de la </w:t>
      </w:r>
      <w:r w:rsidR="0011640A">
        <w:rPr>
          <w:rFonts w:ascii="Arial" w:eastAsia="Times New Roman" w:hAnsi="Arial" w:cs="Arial"/>
          <w:sz w:val="24"/>
          <w:szCs w:val="24"/>
          <w:lang w:val="es-CO" w:eastAsia="es-ES"/>
        </w:rPr>
        <w:t xml:space="preserve">presente </w:t>
      </w:r>
      <w:r w:rsidR="008D64D7" w:rsidRPr="009E05F6">
        <w:rPr>
          <w:rFonts w:ascii="Arial" w:eastAsia="Times New Roman" w:hAnsi="Arial" w:cs="Arial"/>
          <w:sz w:val="24"/>
          <w:szCs w:val="24"/>
          <w:lang w:val="es-CO" w:eastAsia="es-ES"/>
        </w:rPr>
        <w:t>vigencia</w:t>
      </w:r>
      <w:r w:rsidRPr="009E05F6">
        <w:rPr>
          <w:rFonts w:ascii="Arial" w:eastAsia="Times New Roman" w:hAnsi="Arial" w:cs="Arial"/>
          <w:sz w:val="24"/>
          <w:szCs w:val="24"/>
          <w:lang w:val="es-CO" w:eastAsia="es-ES"/>
        </w:rPr>
        <w:t>, se realizó con cubrimiento del cronograma de Auditorías</w:t>
      </w:r>
      <w:r w:rsidR="00D409AD">
        <w:rPr>
          <w:rFonts w:ascii="Arial" w:eastAsia="Times New Roman" w:hAnsi="Arial" w:cs="Arial"/>
          <w:sz w:val="24"/>
          <w:szCs w:val="24"/>
          <w:lang w:val="es-CO" w:eastAsia="es-ES"/>
        </w:rPr>
        <w:t>,</w:t>
      </w:r>
      <w:r w:rsidR="00D409AD">
        <w:rPr>
          <w:rFonts w:ascii="Arial" w:eastAsia="Times New Roman" w:hAnsi="Arial" w:cs="Arial"/>
          <w:color w:val="FF0000"/>
          <w:sz w:val="24"/>
          <w:szCs w:val="24"/>
          <w:lang w:val="es-CO" w:eastAsia="es-ES"/>
        </w:rPr>
        <w:t xml:space="preserve"> </w:t>
      </w:r>
      <w:r w:rsidR="00D409AD">
        <w:rPr>
          <w:rFonts w:ascii="Arial" w:eastAsia="Times New Roman" w:hAnsi="Arial" w:cs="Arial"/>
          <w:sz w:val="24"/>
          <w:szCs w:val="24"/>
          <w:lang w:val="es-CO" w:eastAsia="es-ES"/>
        </w:rPr>
        <w:t>dando</w:t>
      </w:r>
      <w:r w:rsidR="00D409AD" w:rsidRPr="00D409AD">
        <w:rPr>
          <w:rFonts w:ascii="Arial" w:eastAsia="Times New Roman" w:hAnsi="Arial" w:cs="Arial"/>
          <w:sz w:val="24"/>
          <w:szCs w:val="24"/>
          <w:lang w:val="es-CO" w:eastAsia="es-ES"/>
        </w:rPr>
        <w:t xml:space="preserve"> cumplimiento a los lineamientos establecidos en el Comité de Coordinación de Control Interno.</w:t>
      </w:r>
    </w:p>
    <w:p w:rsidR="00296C1F" w:rsidRPr="00D409AD" w:rsidRDefault="00296C1F" w:rsidP="00296C1F">
      <w:pPr>
        <w:tabs>
          <w:tab w:val="left" w:pos="142"/>
        </w:tabs>
        <w:autoSpaceDE w:val="0"/>
        <w:autoSpaceDN w:val="0"/>
        <w:adjustRightInd w:val="0"/>
        <w:spacing w:after="0" w:line="240" w:lineRule="auto"/>
        <w:ind w:left="505"/>
        <w:contextualSpacing/>
        <w:jc w:val="both"/>
        <w:rPr>
          <w:rFonts w:ascii="Arial" w:eastAsia="Times New Roman" w:hAnsi="Arial" w:cs="Arial"/>
          <w:sz w:val="24"/>
          <w:szCs w:val="24"/>
          <w:lang w:val="es-CO" w:eastAsia="es-ES"/>
        </w:rPr>
      </w:pPr>
      <w:r w:rsidRPr="00D409AD">
        <w:rPr>
          <w:rFonts w:ascii="Arial" w:eastAsia="Times New Roman" w:hAnsi="Arial" w:cs="Arial"/>
          <w:sz w:val="24"/>
          <w:szCs w:val="24"/>
          <w:lang w:val="es-CO" w:eastAsia="es-ES"/>
        </w:rPr>
        <w:t xml:space="preserve"> </w:t>
      </w:r>
    </w:p>
    <w:p w:rsidR="00296C1F" w:rsidRPr="009E05F6" w:rsidRDefault="00296C1F" w:rsidP="00296C1F">
      <w:pPr>
        <w:tabs>
          <w:tab w:val="left" w:pos="142"/>
        </w:tabs>
        <w:autoSpaceDE w:val="0"/>
        <w:autoSpaceDN w:val="0"/>
        <w:adjustRightInd w:val="0"/>
        <w:spacing w:after="0" w:line="240" w:lineRule="auto"/>
        <w:ind w:left="505"/>
        <w:contextualSpacing/>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El período audit</w:t>
      </w:r>
      <w:r w:rsidR="008D64D7" w:rsidRPr="009E05F6">
        <w:rPr>
          <w:rFonts w:ascii="Arial" w:eastAsia="Times New Roman" w:hAnsi="Arial" w:cs="Arial"/>
          <w:sz w:val="24"/>
          <w:szCs w:val="24"/>
          <w:lang w:val="es-CO" w:eastAsia="es-ES"/>
        </w:rPr>
        <w:t>ado</w:t>
      </w:r>
      <w:r w:rsidR="0011640A">
        <w:rPr>
          <w:rFonts w:ascii="Arial" w:eastAsia="Times New Roman" w:hAnsi="Arial" w:cs="Arial"/>
          <w:sz w:val="24"/>
          <w:szCs w:val="24"/>
          <w:lang w:val="es-CO" w:eastAsia="es-ES"/>
        </w:rPr>
        <w:t xml:space="preserve"> con respecto de cada proceso</w:t>
      </w:r>
      <w:r w:rsidR="008D64D7" w:rsidRPr="009E05F6">
        <w:rPr>
          <w:rFonts w:ascii="Arial" w:eastAsia="Times New Roman" w:hAnsi="Arial" w:cs="Arial"/>
          <w:sz w:val="24"/>
          <w:szCs w:val="24"/>
          <w:lang w:val="es-CO" w:eastAsia="es-ES"/>
        </w:rPr>
        <w:t xml:space="preserve"> fue la vigencia del año 2014</w:t>
      </w:r>
      <w:r w:rsidRPr="009E05F6">
        <w:rPr>
          <w:rFonts w:ascii="Arial" w:eastAsia="Times New Roman" w:hAnsi="Arial" w:cs="Arial"/>
          <w:sz w:val="24"/>
          <w:szCs w:val="24"/>
          <w:lang w:val="es-CO" w:eastAsia="es-ES"/>
        </w:rPr>
        <w:t xml:space="preserve"> y </w:t>
      </w:r>
      <w:r w:rsidR="0011640A">
        <w:rPr>
          <w:rFonts w:ascii="Arial" w:eastAsia="Times New Roman" w:hAnsi="Arial" w:cs="Arial"/>
          <w:sz w:val="24"/>
          <w:szCs w:val="24"/>
          <w:lang w:val="es-CO" w:eastAsia="es-ES"/>
        </w:rPr>
        <w:t>lo realizado hasta la fecha de cada</w:t>
      </w:r>
      <w:r w:rsidRPr="009E05F6">
        <w:rPr>
          <w:rFonts w:ascii="Arial" w:eastAsia="Times New Roman" w:hAnsi="Arial" w:cs="Arial"/>
          <w:sz w:val="24"/>
          <w:szCs w:val="24"/>
          <w:lang w:val="es-CO" w:eastAsia="es-ES"/>
        </w:rPr>
        <w:t xml:space="preserve"> aud</w:t>
      </w:r>
      <w:r w:rsidR="0011640A">
        <w:rPr>
          <w:rFonts w:ascii="Arial" w:eastAsia="Times New Roman" w:hAnsi="Arial" w:cs="Arial"/>
          <w:sz w:val="24"/>
          <w:szCs w:val="24"/>
          <w:lang w:val="es-CO" w:eastAsia="es-ES"/>
        </w:rPr>
        <w:t>itoría</w:t>
      </w:r>
      <w:r w:rsidRPr="009E05F6">
        <w:rPr>
          <w:rFonts w:ascii="Arial" w:eastAsia="Times New Roman" w:hAnsi="Arial" w:cs="Arial"/>
          <w:sz w:val="24"/>
          <w:szCs w:val="24"/>
          <w:lang w:val="es-CO" w:eastAsia="es-ES"/>
        </w:rPr>
        <w:t>.</w:t>
      </w:r>
    </w:p>
    <w:p w:rsidR="00296C1F" w:rsidRPr="009E05F6" w:rsidRDefault="00296C1F" w:rsidP="00296C1F">
      <w:pPr>
        <w:ind w:left="502"/>
        <w:contextualSpacing/>
        <w:jc w:val="both"/>
        <w:rPr>
          <w:rFonts w:ascii="Arial" w:eastAsia="Times New Roman" w:hAnsi="Arial" w:cs="Arial"/>
          <w:b/>
          <w:sz w:val="24"/>
          <w:szCs w:val="24"/>
          <w:lang w:val="es-CO" w:eastAsia="es-ES"/>
        </w:rPr>
      </w:pPr>
    </w:p>
    <w:p w:rsidR="00296C1F" w:rsidRPr="009E05F6" w:rsidRDefault="00296C1F" w:rsidP="00296C1F">
      <w:pPr>
        <w:ind w:left="502"/>
        <w:contextualSpacing/>
        <w:jc w:val="both"/>
        <w:rPr>
          <w:rFonts w:ascii="Arial" w:eastAsia="Times New Roman" w:hAnsi="Arial" w:cs="Arial"/>
          <w:b/>
          <w:sz w:val="24"/>
          <w:szCs w:val="24"/>
          <w:lang w:val="es-CO" w:eastAsia="es-ES"/>
        </w:rPr>
      </w:pPr>
    </w:p>
    <w:p w:rsidR="00296C1F" w:rsidRPr="009E05F6" w:rsidRDefault="00296C1F" w:rsidP="00296C1F">
      <w:pPr>
        <w:numPr>
          <w:ilvl w:val="1"/>
          <w:numId w:val="10"/>
        </w:numPr>
        <w:autoSpaceDE w:val="0"/>
        <w:autoSpaceDN w:val="0"/>
        <w:adjustRightInd w:val="0"/>
        <w:spacing w:after="0" w:line="240" w:lineRule="auto"/>
        <w:contextualSpacing/>
        <w:rPr>
          <w:rFonts w:ascii="Arial" w:eastAsia="Times New Roman" w:hAnsi="Arial" w:cs="Arial"/>
          <w:b/>
          <w:bCs/>
          <w:color w:val="000000"/>
          <w:sz w:val="24"/>
          <w:szCs w:val="24"/>
          <w:lang w:val="es-CO" w:eastAsia="es-ES"/>
        </w:rPr>
      </w:pPr>
      <w:r w:rsidRPr="009E05F6">
        <w:rPr>
          <w:rFonts w:ascii="Arial" w:eastAsia="Times New Roman" w:hAnsi="Arial" w:cs="Arial"/>
          <w:b/>
          <w:bCs/>
          <w:color w:val="000000"/>
          <w:sz w:val="24"/>
          <w:szCs w:val="24"/>
          <w:lang w:val="es-CO" w:eastAsia="es-ES"/>
        </w:rPr>
        <w:t xml:space="preserve">CRITERIOS DE AUDITORÍA </w:t>
      </w:r>
    </w:p>
    <w:p w:rsidR="00296C1F" w:rsidRPr="009E05F6" w:rsidRDefault="00296C1F" w:rsidP="00296C1F">
      <w:pPr>
        <w:autoSpaceDE w:val="0"/>
        <w:autoSpaceDN w:val="0"/>
        <w:adjustRightInd w:val="0"/>
        <w:spacing w:after="0" w:line="240" w:lineRule="auto"/>
        <w:ind w:left="1080"/>
        <w:rPr>
          <w:rFonts w:ascii="Arial" w:eastAsia="Times New Roman" w:hAnsi="Arial" w:cs="Arial"/>
          <w:color w:val="000000"/>
          <w:sz w:val="24"/>
          <w:szCs w:val="24"/>
          <w:lang w:val="es-CO" w:eastAsia="es-ES"/>
        </w:rPr>
      </w:pPr>
    </w:p>
    <w:p w:rsidR="00296C1F" w:rsidRPr="009E05F6" w:rsidRDefault="00296C1F" w:rsidP="00296C1F">
      <w:pPr>
        <w:autoSpaceDE w:val="0"/>
        <w:autoSpaceDN w:val="0"/>
        <w:adjustRightInd w:val="0"/>
        <w:spacing w:after="0" w:line="240" w:lineRule="auto"/>
        <w:ind w:left="1080"/>
        <w:rPr>
          <w:rFonts w:ascii="Arial" w:eastAsia="Times New Roman" w:hAnsi="Arial" w:cs="Arial"/>
          <w:color w:val="000000"/>
          <w:sz w:val="24"/>
          <w:szCs w:val="24"/>
          <w:lang w:val="es-CO" w:eastAsia="es-ES"/>
        </w:rPr>
      </w:pPr>
    </w:p>
    <w:p w:rsidR="00296C1F" w:rsidRPr="009E05F6" w:rsidRDefault="009071AF" w:rsidP="00296C1F">
      <w:pPr>
        <w:autoSpaceDE w:val="0"/>
        <w:autoSpaceDN w:val="0"/>
        <w:adjustRightInd w:val="0"/>
        <w:spacing w:after="0" w:line="240" w:lineRule="auto"/>
        <w:ind w:left="567"/>
        <w:jc w:val="both"/>
        <w:rPr>
          <w:rFonts w:ascii="Arial" w:eastAsia="Times New Roman" w:hAnsi="Arial" w:cs="Arial"/>
          <w:sz w:val="24"/>
          <w:szCs w:val="24"/>
          <w:lang w:eastAsia="es-ES"/>
        </w:rPr>
      </w:pPr>
      <w:r>
        <w:rPr>
          <w:rFonts w:ascii="Arial" w:eastAsia="Times New Roman" w:hAnsi="Arial" w:cs="Arial"/>
          <w:sz w:val="24"/>
          <w:szCs w:val="24"/>
          <w:lang w:val="es-CO" w:eastAsia="es-ES"/>
        </w:rPr>
        <w:t xml:space="preserve">El ciclo de auditorías del primer trimestre de 2015 </w:t>
      </w:r>
      <w:r w:rsidR="00296C1F" w:rsidRPr="009E05F6">
        <w:rPr>
          <w:rFonts w:ascii="Arial" w:eastAsia="Times New Roman" w:hAnsi="Arial" w:cs="Arial"/>
          <w:sz w:val="24"/>
          <w:szCs w:val="24"/>
          <w:lang w:val="es-CO" w:eastAsia="es-ES"/>
        </w:rPr>
        <w:t xml:space="preserve">se desarrolló con base en los siguientes criterios, como referentes para la verificación de las evidencias de las auditorías: </w:t>
      </w:r>
      <w:hyperlink r:id="rId9" w:history="1">
        <w:r w:rsidR="00296C1F" w:rsidRPr="009E05F6">
          <w:rPr>
            <w:rFonts w:ascii="Arial" w:eastAsiaTheme="minorHAnsi" w:hAnsi="Arial" w:cs="Arial"/>
            <w:color w:val="000000"/>
            <w:sz w:val="24"/>
            <w:szCs w:val="24"/>
          </w:rPr>
          <w:t>MECI 1000:2005</w:t>
        </w:r>
      </w:hyperlink>
      <w:r w:rsidR="00296C1F" w:rsidRPr="009E05F6">
        <w:rPr>
          <w:rFonts w:ascii="Arial" w:eastAsiaTheme="minorHAnsi" w:hAnsi="Arial" w:cs="Arial"/>
          <w:color w:val="000000"/>
          <w:sz w:val="24"/>
          <w:szCs w:val="24"/>
        </w:rPr>
        <w:t xml:space="preserve">; </w:t>
      </w:r>
      <w:r w:rsidR="00296C1F" w:rsidRPr="009E05F6">
        <w:rPr>
          <w:rFonts w:ascii="Arial" w:eastAsiaTheme="minorHAnsi" w:hAnsi="Arial" w:cs="Arial"/>
          <w:color w:val="000000"/>
          <w:sz w:val="24"/>
          <w:szCs w:val="24"/>
          <w:lang w:val="es-CO"/>
        </w:rPr>
        <w:t xml:space="preserve">NTCGP 1000:2009; </w:t>
      </w:r>
      <w:r w:rsidR="00296C1F" w:rsidRPr="009E05F6">
        <w:rPr>
          <w:rFonts w:ascii="Arial" w:eastAsiaTheme="minorHAnsi" w:hAnsi="Arial" w:cs="Arial"/>
          <w:color w:val="000000"/>
          <w:sz w:val="24"/>
          <w:szCs w:val="24"/>
        </w:rPr>
        <w:t>NTC ISO 9001:2008;</w:t>
      </w:r>
      <w:r w:rsidR="00076FB3">
        <w:rPr>
          <w:rFonts w:ascii="Arial" w:eastAsiaTheme="minorHAnsi" w:hAnsi="Arial" w:cs="Arial"/>
          <w:color w:val="000000"/>
          <w:sz w:val="24"/>
          <w:szCs w:val="24"/>
        </w:rPr>
        <w:t xml:space="preserve"> </w:t>
      </w:r>
      <w:r w:rsidR="00296C1F" w:rsidRPr="009E05F6">
        <w:rPr>
          <w:rFonts w:ascii="Arial" w:eastAsia="Times New Roman" w:hAnsi="Arial" w:cs="Arial"/>
          <w:sz w:val="24"/>
          <w:szCs w:val="24"/>
          <w:lang w:eastAsia="es-ES"/>
        </w:rPr>
        <w:t xml:space="preserve">Decreto 2595 de 2012; y demás normatividad vigente relacionada; </w:t>
      </w:r>
      <w:r w:rsidR="00296C1F" w:rsidRPr="009E05F6">
        <w:rPr>
          <w:rFonts w:ascii="Arial" w:eastAsia="Times New Roman" w:hAnsi="Arial" w:cs="Arial"/>
          <w:sz w:val="24"/>
          <w:szCs w:val="24"/>
          <w:lang w:val="es-CO" w:eastAsia="es-ES"/>
        </w:rPr>
        <w:t xml:space="preserve">cumplimiento de controles (revisión del reporte de los indicadores, Plan de Acción, y manejo del riesgo); </w:t>
      </w:r>
      <w:r w:rsidR="008E62CA">
        <w:rPr>
          <w:rFonts w:ascii="Arial" w:eastAsia="Times New Roman" w:hAnsi="Arial" w:cs="Arial"/>
          <w:sz w:val="24"/>
          <w:szCs w:val="24"/>
          <w:lang w:val="es-CO" w:eastAsia="es-ES"/>
        </w:rPr>
        <w:t xml:space="preserve">caracterización </w:t>
      </w:r>
      <w:r w:rsidR="00296C1F" w:rsidRPr="009E05F6">
        <w:rPr>
          <w:rFonts w:ascii="Arial" w:eastAsia="Times New Roman" w:hAnsi="Arial" w:cs="Arial"/>
          <w:sz w:val="24"/>
          <w:szCs w:val="24"/>
          <w:lang w:val="es-CO" w:eastAsia="es-ES"/>
        </w:rPr>
        <w:t>procesos/ procedimientos.</w:t>
      </w:r>
    </w:p>
    <w:p w:rsidR="00296C1F" w:rsidRPr="009E05F6" w:rsidRDefault="00296C1F" w:rsidP="00296C1F">
      <w:pPr>
        <w:tabs>
          <w:tab w:val="left" w:pos="5016"/>
        </w:tabs>
        <w:autoSpaceDE w:val="0"/>
        <w:autoSpaceDN w:val="0"/>
        <w:adjustRightInd w:val="0"/>
        <w:spacing w:after="0" w:line="240" w:lineRule="auto"/>
        <w:ind w:left="720"/>
        <w:rPr>
          <w:rFonts w:ascii="Arial" w:eastAsia="Times New Roman" w:hAnsi="Arial" w:cs="Arial"/>
          <w:sz w:val="24"/>
          <w:szCs w:val="24"/>
          <w:lang w:eastAsia="es-ES"/>
        </w:rPr>
      </w:pPr>
    </w:p>
    <w:p w:rsidR="00296C1F" w:rsidRPr="009E05F6" w:rsidRDefault="00296C1F" w:rsidP="00296C1F">
      <w:pPr>
        <w:tabs>
          <w:tab w:val="left" w:pos="5016"/>
        </w:tabs>
        <w:autoSpaceDE w:val="0"/>
        <w:autoSpaceDN w:val="0"/>
        <w:adjustRightInd w:val="0"/>
        <w:spacing w:after="0" w:line="240" w:lineRule="auto"/>
        <w:ind w:left="720"/>
        <w:rPr>
          <w:rFonts w:ascii="Arial" w:eastAsia="Times New Roman" w:hAnsi="Arial" w:cs="Arial"/>
          <w:sz w:val="24"/>
          <w:szCs w:val="24"/>
          <w:lang w:eastAsia="es-ES"/>
        </w:rPr>
      </w:pPr>
    </w:p>
    <w:p w:rsidR="00296C1F" w:rsidRPr="009E05F6" w:rsidRDefault="00296C1F" w:rsidP="00296C1F">
      <w:pPr>
        <w:tabs>
          <w:tab w:val="left" w:pos="5016"/>
        </w:tabs>
        <w:autoSpaceDE w:val="0"/>
        <w:autoSpaceDN w:val="0"/>
        <w:adjustRightInd w:val="0"/>
        <w:spacing w:after="0" w:line="240" w:lineRule="auto"/>
        <w:ind w:left="720"/>
        <w:rPr>
          <w:rFonts w:ascii="Arial" w:eastAsia="Times New Roman" w:hAnsi="Arial" w:cs="Arial"/>
          <w:sz w:val="24"/>
          <w:szCs w:val="24"/>
          <w:lang w:val="es-CO" w:eastAsia="es-ES"/>
        </w:rPr>
      </w:pPr>
    </w:p>
    <w:p w:rsidR="00296C1F" w:rsidRPr="009E05F6" w:rsidRDefault="00296C1F" w:rsidP="00296C1F">
      <w:pPr>
        <w:tabs>
          <w:tab w:val="left" w:pos="5016"/>
        </w:tabs>
        <w:autoSpaceDE w:val="0"/>
        <w:autoSpaceDN w:val="0"/>
        <w:adjustRightInd w:val="0"/>
        <w:spacing w:after="0" w:line="240" w:lineRule="auto"/>
        <w:ind w:left="720"/>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ab/>
      </w:r>
    </w:p>
    <w:p w:rsidR="00296C1F" w:rsidRPr="009E05F6" w:rsidRDefault="00296C1F" w:rsidP="00296C1F">
      <w:pPr>
        <w:numPr>
          <w:ilvl w:val="0"/>
          <w:numId w:val="7"/>
        </w:num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r w:rsidRPr="009E05F6">
        <w:rPr>
          <w:rFonts w:ascii="Arial" w:eastAsia="Times New Roman" w:hAnsi="Arial" w:cs="Arial"/>
          <w:b/>
          <w:sz w:val="24"/>
          <w:szCs w:val="24"/>
          <w:lang w:val="es-CO" w:eastAsia="es-ES"/>
        </w:rPr>
        <w:t>METODOLOGÍA AUDITORÍAS INTERNAS DEL SIG</w:t>
      </w: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 xml:space="preserve">La metodología aplicada en el desarrollo de las Auditorías Internas </w:t>
      </w:r>
      <w:r w:rsidR="00D409AD">
        <w:rPr>
          <w:rFonts w:ascii="Arial" w:eastAsia="Times New Roman" w:hAnsi="Arial" w:cs="Arial"/>
          <w:sz w:val="24"/>
          <w:szCs w:val="24"/>
          <w:lang w:val="es-CO" w:eastAsia="es-ES"/>
        </w:rPr>
        <w:t>-</w:t>
      </w:r>
      <w:r w:rsidRPr="009E05F6">
        <w:rPr>
          <w:rFonts w:ascii="Arial" w:eastAsia="Times New Roman" w:hAnsi="Arial" w:cs="Arial"/>
          <w:sz w:val="24"/>
          <w:szCs w:val="24"/>
          <w:lang w:val="es-CO" w:eastAsia="es-ES"/>
        </w:rPr>
        <w:t>SIG</w:t>
      </w:r>
      <w:r w:rsidR="00D409AD">
        <w:rPr>
          <w:rFonts w:ascii="Arial" w:eastAsia="Times New Roman" w:hAnsi="Arial" w:cs="Arial"/>
          <w:sz w:val="24"/>
          <w:szCs w:val="24"/>
          <w:lang w:val="es-CO" w:eastAsia="es-ES"/>
        </w:rPr>
        <w:t>-</w:t>
      </w:r>
      <w:r w:rsidRPr="009E05F6">
        <w:rPr>
          <w:rFonts w:ascii="Arial" w:eastAsia="Times New Roman" w:hAnsi="Arial" w:cs="Arial"/>
          <w:sz w:val="24"/>
          <w:szCs w:val="24"/>
          <w:lang w:val="es-CO" w:eastAsia="es-ES"/>
        </w:rPr>
        <w:t xml:space="preserve"> en su planificación, ejecución, rendición de informes y seguimiento al plan de mejoramiento, se fundamentó en los lineamientos establecidos en el procedimiento “AUDITORIAS INTERNAS”, donde se presentan las actividades principales llevadas a cabo durante el proceso auditor. </w:t>
      </w: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296C1F"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D409AD" w:rsidRDefault="00D409AD"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C87192" w:rsidRDefault="00C87192"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C87192" w:rsidRDefault="00C87192"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C87192" w:rsidRPr="009E05F6" w:rsidRDefault="00C87192"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r w:rsidRPr="009E05F6">
        <w:rPr>
          <w:rFonts w:ascii="Arial" w:eastAsia="Times New Roman" w:hAnsi="Arial" w:cs="Arial"/>
          <w:b/>
          <w:sz w:val="24"/>
          <w:szCs w:val="24"/>
          <w:lang w:val="es-CO" w:eastAsia="es-ES"/>
        </w:rPr>
        <w:t>Áreas Auditadas</w:t>
      </w:r>
    </w:p>
    <w:p w:rsidR="00296C1F" w:rsidRPr="009E05F6" w:rsidRDefault="00296C1F" w:rsidP="00296C1F">
      <w:pPr>
        <w:ind w:left="502"/>
        <w:contextualSpacing/>
        <w:jc w:val="both"/>
        <w:rPr>
          <w:rFonts w:ascii="Arial" w:eastAsia="Times New Roman" w:hAnsi="Arial" w:cs="Arial"/>
          <w:b/>
          <w:sz w:val="24"/>
          <w:szCs w:val="24"/>
          <w:lang w:val="es-CO" w:eastAsia="es-ES"/>
        </w:rPr>
      </w:pPr>
    </w:p>
    <w:p w:rsidR="009A7751" w:rsidRPr="009E05F6" w:rsidRDefault="009A7751" w:rsidP="009A7751">
      <w:pPr>
        <w:numPr>
          <w:ilvl w:val="0"/>
          <w:numId w:val="14"/>
        </w:numPr>
        <w:tabs>
          <w:tab w:val="left" w:pos="142"/>
        </w:tabs>
        <w:autoSpaceDE w:val="0"/>
        <w:autoSpaceDN w:val="0"/>
        <w:adjustRightInd w:val="0"/>
        <w:spacing w:after="0" w:line="240" w:lineRule="auto"/>
        <w:contextualSpacing/>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Delegada para la Gestión - Dirección de Gestión Financiera y Contable</w:t>
      </w:r>
    </w:p>
    <w:p w:rsidR="00296C1F" w:rsidRPr="009E05F6" w:rsidRDefault="00296C1F" w:rsidP="009A7751">
      <w:pPr>
        <w:numPr>
          <w:ilvl w:val="0"/>
          <w:numId w:val="14"/>
        </w:numPr>
        <w:contextualSpacing/>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 xml:space="preserve">Secretaría General - Grupo de </w:t>
      </w:r>
      <w:r w:rsidRPr="009E05F6">
        <w:rPr>
          <w:rFonts w:ascii="Arial" w:eastAsia="Times New Roman" w:hAnsi="Arial" w:cs="Arial"/>
          <w:sz w:val="24"/>
          <w:szCs w:val="24"/>
          <w:lang w:eastAsia="es-ES"/>
        </w:rPr>
        <w:t>Gestión del Talento Humano</w:t>
      </w:r>
    </w:p>
    <w:p w:rsidR="009A7751" w:rsidRPr="009E05F6" w:rsidRDefault="009A7751" w:rsidP="009A7751">
      <w:pPr>
        <w:numPr>
          <w:ilvl w:val="0"/>
          <w:numId w:val="14"/>
        </w:numPr>
        <w:contextualSpacing/>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Delegada para la Responsabilidad Administrativa y las Medidas Especiales</w:t>
      </w:r>
    </w:p>
    <w:p w:rsidR="00296C1F" w:rsidRPr="009E05F6" w:rsidRDefault="00296C1F" w:rsidP="009A7751">
      <w:pPr>
        <w:numPr>
          <w:ilvl w:val="0"/>
          <w:numId w:val="14"/>
        </w:numPr>
        <w:tabs>
          <w:tab w:val="left" w:pos="142"/>
        </w:tabs>
        <w:autoSpaceDE w:val="0"/>
        <w:autoSpaceDN w:val="0"/>
        <w:adjustRightInd w:val="0"/>
        <w:spacing w:after="0" w:line="240" w:lineRule="auto"/>
        <w:contextualSpacing/>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Secretaría General - Grupo de Gestión Administrativa y Documental</w:t>
      </w:r>
    </w:p>
    <w:p w:rsidR="00296C1F" w:rsidRPr="009E05F6" w:rsidRDefault="008D64D7" w:rsidP="009A7751">
      <w:pPr>
        <w:pStyle w:val="Prrafodelista"/>
        <w:numPr>
          <w:ilvl w:val="0"/>
          <w:numId w:val="14"/>
        </w:numPr>
        <w:jc w:val="both"/>
        <w:rPr>
          <w:rFonts w:ascii="Arial" w:eastAsia="Times New Roman" w:hAnsi="Arial" w:cs="Arial"/>
          <w:b/>
          <w:sz w:val="24"/>
          <w:szCs w:val="24"/>
          <w:lang w:val="es-CO" w:eastAsia="es-ES"/>
        </w:rPr>
      </w:pPr>
      <w:r w:rsidRPr="009E05F6">
        <w:rPr>
          <w:rFonts w:ascii="Arial" w:eastAsia="Times New Roman" w:hAnsi="Arial" w:cs="Arial"/>
          <w:sz w:val="24"/>
          <w:szCs w:val="24"/>
          <w:lang w:val="es-CO" w:eastAsia="es-ES"/>
        </w:rPr>
        <w:t>Delegada para la Gestión - Dirección para la Gestión de las Cajas de Compensación Familiar</w:t>
      </w:r>
    </w:p>
    <w:p w:rsidR="00296C1F" w:rsidRPr="009E05F6" w:rsidRDefault="00296C1F" w:rsidP="00296C1F">
      <w:pPr>
        <w:ind w:left="502"/>
        <w:contextualSpacing/>
        <w:jc w:val="both"/>
        <w:rPr>
          <w:rFonts w:ascii="Arial" w:eastAsia="Times New Roman" w:hAnsi="Arial" w:cs="Arial"/>
          <w:b/>
          <w:sz w:val="24"/>
          <w:szCs w:val="24"/>
          <w:lang w:val="es-CO" w:eastAsia="es-ES"/>
        </w:rPr>
      </w:pPr>
    </w:p>
    <w:p w:rsidR="00296C1F" w:rsidRPr="009E05F6" w:rsidRDefault="00296C1F" w:rsidP="00296C1F">
      <w:pPr>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eastAsia="es-ES"/>
        </w:rPr>
      </w:pPr>
      <w:r w:rsidRPr="009E05F6">
        <w:rPr>
          <w:rFonts w:ascii="Arial" w:eastAsia="Times New Roman" w:hAnsi="Arial" w:cs="Arial"/>
          <w:b/>
          <w:sz w:val="24"/>
          <w:szCs w:val="24"/>
          <w:lang w:eastAsia="es-ES"/>
        </w:rPr>
        <w:t>Procesos/procedimientos Auditados</w:t>
      </w:r>
    </w:p>
    <w:p w:rsidR="00296C1F" w:rsidRPr="009E05F6" w:rsidRDefault="00296C1F" w:rsidP="00296C1F">
      <w:pPr>
        <w:ind w:left="502"/>
        <w:contextualSpacing/>
        <w:jc w:val="both"/>
        <w:rPr>
          <w:rFonts w:ascii="Arial" w:eastAsia="Times New Roman" w:hAnsi="Arial" w:cs="Arial"/>
          <w:b/>
          <w:sz w:val="24"/>
          <w:szCs w:val="24"/>
          <w:lang w:val="es-CO" w:eastAsia="es-ES"/>
        </w:rPr>
      </w:pPr>
    </w:p>
    <w:p w:rsidR="0028140E" w:rsidRPr="009E05F6" w:rsidRDefault="0028140E" w:rsidP="0028140E">
      <w:pPr>
        <w:pStyle w:val="Prrafodelista"/>
        <w:numPr>
          <w:ilvl w:val="0"/>
          <w:numId w:val="9"/>
        </w:numPr>
        <w:tabs>
          <w:tab w:val="left" w:pos="142"/>
        </w:tabs>
        <w:autoSpaceDE w:val="0"/>
        <w:autoSpaceDN w:val="0"/>
        <w:adjustRightInd w:val="0"/>
        <w:spacing w:after="0" w:line="240" w:lineRule="auto"/>
        <w:ind w:left="851"/>
        <w:jc w:val="both"/>
        <w:rPr>
          <w:rFonts w:ascii="Arial" w:eastAsia="Times New Roman" w:hAnsi="Arial" w:cs="Arial"/>
          <w:sz w:val="24"/>
          <w:szCs w:val="24"/>
          <w:lang w:eastAsia="es-ES"/>
        </w:rPr>
      </w:pPr>
      <w:r w:rsidRPr="009E05F6">
        <w:rPr>
          <w:rFonts w:ascii="Arial" w:eastAsia="Times New Roman" w:hAnsi="Arial" w:cs="Arial"/>
          <w:sz w:val="24"/>
          <w:szCs w:val="24"/>
          <w:lang w:eastAsia="es-ES"/>
        </w:rPr>
        <w:t>Control Financiero Contable de las CCF</w:t>
      </w:r>
    </w:p>
    <w:p w:rsidR="0028140E" w:rsidRPr="009E05F6" w:rsidRDefault="0028140E" w:rsidP="0028140E">
      <w:pPr>
        <w:pStyle w:val="Prrafodelista"/>
        <w:numPr>
          <w:ilvl w:val="0"/>
          <w:numId w:val="9"/>
        </w:numPr>
        <w:tabs>
          <w:tab w:val="left" w:pos="142"/>
        </w:tabs>
        <w:autoSpaceDE w:val="0"/>
        <w:autoSpaceDN w:val="0"/>
        <w:adjustRightInd w:val="0"/>
        <w:spacing w:after="0" w:line="240" w:lineRule="auto"/>
        <w:ind w:left="851"/>
        <w:jc w:val="both"/>
        <w:rPr>
          <w:rFonts w:ascii="Arial" w:eastAsia="Times New Roman" w:hAnsi="Arial" w:cs="Arial"/>
          <w:sz w:val="24"/>
          <w:szCs w:val="24"/>
          <w:lang w:eastAsia="es-ES"/>
        </w:rPr>
      </w:pPr>
      <w:r w:rsidRPr="009E05F6">
        <w:rPr>
          <w:rFonts w:ascii="Arial" w:eastAsia="Times New Roman" w:hAnsi="Arial" w:cs="Arial"/>
          <w:sz w:val="24"/>
          <w:szCs w:val="24"/>
          <w:lang w:eastAsia="es-ES"/>
        </w:rPr>
        <w:t>Gestión del Talento Humano</w:t>
      </w:r>
    </w:p>
    <w:p w:rsidR="0028140E" w:rsidRPr="009E05F6" w:rsidRDefault="0028140E" w:rsidP="0028140E">
      <w:pPr>
        <w:pStyle w:val="Prrafodelista"/>
        <w:numPr>
          <w:ilvl w:val="0"/>
          <w:numId w:val="9"/>
        </w:numPr>
        <w:tabs>
          <w:tab w:val="left" w:pos="142"/>
        </w:tabs>
        <w:autoSpaceDE w:val="0"/>
        <w:autoSpaceDN w:val="0"/>
        <w:adjustRightInd w:val="0"/>
        <w:spacing w:after="0" w:line="240" w:lineRule="auto"/>
        <w:ind w:left="851"/>
        <w:jc w:val="both"/>
        <w:rPr>
          <w:rFonts w:ascii="Arial" w:eastAsia="Times New Roman" w:hAnsi="Arial" w:cs="Arial"/>
          <w:sz w:val="24"/>
          <w:szCs w:val="24"/>
          <w:lang w:eastAsia="es-ES"/>
        </w:rPr>
      </w:pPr>
      <w:r w:rsidRPr="009E05F6">
        <w:rPr>
          <w:rFonts w:ascii="Arial" w:eastAsia="Times New Roman" w:hAnsi="Arial" w:cs="Arial"/>
          <w:sz w:val="24"/>
          <w:szCs w:val="24"/>
          <w:lang w:eastAsia="es-ES"/>
        </w:rPr>
        <w:t>Control Legal de Cajas de Compensación Familiar</w:t>
      </w:r>
    </w:p>
    <w:p w:rsidR="00296C1F" w:rsidRPr="009E05F6" w:rsidRDefault="00296C1F" w:rsidP="00296C1F">
      <w:pPr>
        <w:numPr>
          <w:ilvl w:val="0"/>
          <w:numId w:val="9"/>
        </w:numPr>
        <w:tabs>
          <w:tab w:val="left" w:pos="142"/>
        </w:tabs>
        <w:autoSpaceDE w:val="0"/>
        <w:autoSpaceDN w:val="0"/>
        <w:adjustRightInd w:val="0"/>
        <w:spacing w:after="0" w:line="240" w:lineRule="auto"/>
        <w:ind w:left="851"/>
        <w:contextualSpacing/>
        <w:jc w:val="both"/>
        <w:rPr>
          <w:rFonts w:ascii="Arial" w:eastAsia="Times New Roman" w:hAnsi="Arial" w:cs="Arial"/>
          <w:sz w:val="24"/>
          <w:szCs w:val="24"/>
          <w:lang w:eastAsia="es-ES"/>
        </w:rPr>
      </w:pPr>
      <w:r w:rsidRPr="009E05F6">
        <w:rPr>
          <w:rFonts w:ascii="Arial" w:eastAsia="Times New Roman" w:hAnsi="Arial" w:cs="Arial"/>
          <w:sz w:val="24"/>
          <w:szCs w:val="24"/>
          <w:lang w:eastAsia="es-ES"/>
        </w:rPr>
        <w:t>Almacén e Inventarios</w:t>
      </w:r>
    </w:p>
    <w:p w:rsidR="0028140E" w:rsidRPr="009E05F6" w:rsidRDefault="0028140E" w:rsidP="00296C1F">
      <w:pPr>
        <w:numPr>
          <w:ilvl w:val="0"/>
          <w:numId w:val="9"/>
        </w:numPr>
        <w:tabs>
          <w:tab w:val="left" w:pos="142"/>
        </w:tabs>
        <w:autoSpaceDE w:val="0"/>
        <w:autoSpaceDN w:val="0"/>
        <w:adjustRightInd w:val="0"/>
        <w:spacing w:after="0" w:line="240" w:lineRule="auto"/>
        <w:ind w:left="851"/>
        <w:contextualSpacing/>
        <w:jc w:val="both"/>
        <w:rPr>
          <w:rFonts w:ascii="Arial" w:eastAsia="Times New Roman" w:hAnsi="Arial" w:cs="Arial"/>
          <w:sz w:val="24"/>
          <w:szCs w:val="24"/>
          <w:lang w:eastAsia="es-ES"/>
        </w:rPr>
      </w:pPr>
      <w:r w:rsidRPr="009E05F6">
        <w:rPr>
          <w:rFonts w:ascii="Arial" w:eastAsia="Times New Roman" w:hAnsi="Arial" w:cs="Arial"/>
          <w:sz w:val="24"/>
          <w:szCs w:val="24"/>
          <w:lang w:eastAsia="es-ES"/>
        </w:rPr>
        <w:t>Gestión Documental</w:t>
      </w:r>
    </w:p>
    <w:p w:rsidR="009A7751" w:rsidRPr="009E05F6" w:rsidRDefault="009A7751" w:rsidP="009A7751">
      <w:pPr>
        <w:numPr>
          <w:ilvl w:val="0"/>
          <w:numId w:val="9"/>
        </w:numPr>
        <w:tabs>
          <w:tab w:val="left" w:pos="142"/>
        </w:tabs>
        <w:autoSpaceDE w:val="0"/>
        <w:autoSpaceDN w:val="0"/>
        <w:adjustRightInd w:val="0"/>
        <w:spacing w:after="0" w:line="240" w:lineRule="auto"/>
        <w:ind w:left="851"/>
        <w:contextualSpacing/>
        <w:jc w:val="both"/>
        <w:rPr>
          <w:rFonts w:ascii="Arial" w:eastAsia="Times New Roman" w:hAnsi="Arial" w:cs="Arial"/>
          <w:sz w:val="24"/>
          <w:szCs w:val="24"/>
          <w:lang w:eastAsia="es-ES"/>
        </w:rPr>
      </w:pPr>
      <w:r w:rsidRPr="009E05F6">
        <w:rPr>
          <w:rFonts w:ascii="Arial" w:eastAsia="Times New Roman" w:hAnsi="Arial" w:cs="Arial"/>
          <w:sz w:val="24"/>
          <w:szCs w:val="24"/>
          <w:lang w:eastAsia="es-ES"/>
        </w:rPr>
        <w:t>Evaluación de Gestión de Cajas de Compensación Familiar</w:t>
      </w:r>
    </w:p>
    <w:p w:rsidR="00296C1F" w:rsidRPr="009E05F6" w:rsidRDefault="00296C1F" w:rsidP="00296C1F">
      <w:pPr>
        <w:tabs>
          <w:tab w:val="left" w:pos="142"/>
        </w:tabs>
        <w:autoSpaceDE w:val="0"/>
        <w:autoSpaceDN w:val="0"/>
        <w:adjustRightInd w:val="0"/>
        <w:spacing w:after="0" w:line="240" w:lineRule="auto"/>
        <w:ind w:left="851"/>
        <w:contextualSpacing/>
        <w:jc w:val="both"/>
        <w:rPr>
          <w:rFonts w:ascii="Arial" w:eastAsia="Times New Roman" w:hAnsi="Arial" w:cs="Arial"/>
          <w:sz w:val="24"/>
          <w:szCs w:val="24"/>
          <w:lang w:eastAsia="es-ES"/>
        </w:rPr>
      </w:pPr>
    </w:p>
    <w:p w:rsidR="00296C1F" w:rsidRPr="009E05F6" w:rsidRDefault="00296C1F" w:rsidP="00296C1F">
      <w:pPr>
        <w:tabs>
          <w:tab w:val="left" w:pos="142"/>
        </w:tabs>
        <w:autoSpaceDE w:val="0"/>
        <w:autoSpaceDN w:val="0"/>
        <w:adjustRightInd w:val="0"/>
        <w:spacing w:after="0" w:line="240" w:lineRule="auto"/>
        <w:ind w:left="851"/>
        <w:contextualSpacing/>
        <w:jc w:val="both"/>
        <w:rPr>
          <w:rFonts w:ascii="Arial" w:eastAsia="Times New Roman" w:hAnsi="Arial" w:cs="Arial"/>
          <w:sz w:val="24"/>
          <w:szCs w:val="24"/>
          <w:lang w:eastAsia="es-ES"/>
        </w:rPr>
      </w:pP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eastAsia="es-ES"/>
        </w:rPr>
      </w:pP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eastAsia="es-ES"/>
        </w:rPr>
      </w:pPr>
    </w:p>
    <w:p w:rsidR="00296C1F" w:rsidRPr="009E05F6" w:rsidRDefault="00296C1F" w:rsidP="00296C1F">
      <w:pPr>
        <w:numPr>
          <w:ilvl w:val="0"/>
          <w:numId w:val="7"/>
        </w:num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r w:rsidRPr="009E05F6">
        <w:rPr>
          <w:rFonts w:ascii="Arial" w:eastAsia="Times New Roman" w:hAnsi="Arial" w:cs="Arial"/>
          <w:b/>
          <w:sz w:val="24"/>
          <w:szCs w:val="24"/>
          <w:lang w:val="es-CO" w:eastAsia="es-ES"/>
        </w:rPr>
        <w:t>RESULTADOS GENERALES</w:t>
      </w: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296C1F" w:rsidRPr="009E05F6" w:rsidRDefault="00296C1F" w:rsidP="00296C1F">
      <w:pPr>
        <w:tabs>
          <w:tab w:val="left" w:pos="142"/>
        </w:tabs>
        <w:autoSpaceDE w:val="0"/>
        <w:autoSpaceDN w:val="0"/>
        <w:adjustRightInd w:val="0"/>
        <w:spacing w:after="0" w:line="240" w:lineRule="auto"/>
        <w:ind w:left="505"/>
        <w:contextualSpacing/>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 xml:space="preserve">La Oficina de Control Interno realizó </w:t>
      </w:r>
      <w:r w:rsidR="009A7751" w:rsidRPr="009E05F6">
        <w:rPr>
          <w:rFonts w:ascii="Arial" w:eastAsia="Times New Roman" w:hAnsi="Arial" w:cs="Arial"/>
          <w:sz w:val="24"/>
          <w:szCs w:val="24"/>
          <w:lang w:val="es-CO" w:eastAsia="es-ES"/>
        </w:rPr>
        <w:t>seis (6</w:t>
      </w:r>
      <w:r w:rsidRPr="009E05F6">
        <w:rPr>
          <w:rFonts w:ascii="Arial" w:eastAsia="Times New Roman" w:hAnsi="Arial" w:cs="Arial"/>
          <w:sz w:val="24"/>
          <w:szCs w:val="24"/>
          <w:lang w:val="es-CO" w:eastAsia="es-ES"/>
        </w:rPr>
        <w:t xml:space="preserve">) auditorías </w:t>
      </w:r>
      <w:r w:rsidR="009A7751" w:rsidRPr="009E05F6">
        <w:rPr>
          <w:rFonts w:ascii="Arial" w:eastAsia="Times New Roman" w:hAnsi="Arial" w:cs="Arial"/>
          <w:sz w:val="24"/>
          <w:szCs w:val="24"/>
          <w:lang w:val="es-CO" w:eastAsia="es-ES"/>
        </w:rPr>
        <w:t>para el primer trimestre de 2015,</w:t>
      </w:r>
      <w:r w:rsidRPr="009E05F6">
        <w:rPr>
          <w:rFonts w:ascii="Arial" w:eastAsia="Times New Roman" w:hAnsi="Arial" w:cs="Arial"/>
          <w:sz w:val="24"/>
          <w:szCs w:val="24"/>
          <w:lang w:val="es-CO" w:eastAsia="es-ES"/>
        </w:rPr>
        <w:t xml:space="preserve"> de acuerdo con el cronograma de Auditorias</w:t>
      </w:r>
      <w:r w:rsidR="00D409AD">
        <w:rPr>
          <w:rFonts w:ascii="Arial" w:eastAsia="Times New Roman" w:hAnsi="Arial" w:cs="Arial"/>
          <w:sz w:val="24"/>
          <w:szCs w:val="24"/>
          <w:lang w:val="es-CO" w:eastAsia="es-ES"/>
        </w:rPr>
        <w:t xml:space="preserve"> </w:t>
      </w:r>
      <w:r w:rsidRPr="009E05F6">
        <w:rPr>
          <w:rFonts w:ascii="Arial" w:eastAsia="Times New Roman" w:hAnsi="Arial" w:cs="Arial"/>
          <w:sz w:val="24"/>
          <w:szCs w:val="24"/>
          <w:lang w:val="es-CO" w:eastAsia="es-ES"/>
        </w:rPr>
        <w:t>aprobado por el Comité de Coordinación de Control Interno</w:t>
      </w:r>
      <w:r w:rsidR="009A7751" w:rsidRPr="009E05F6">
        <w:rPr>
          <w:rFonts w:ascii="Arial" w:eastAsia="Times New Roman" w:hAnsi="Arial" w:cs="Arial"/>
          <w:sz w:val="24"/>
          <w:szCs w:val="24"/>
          <w:lang w:val="es-CO" w:eastAsia="es-ES"/>
        </w:rPr>
        <w:t>.</w:t>
      </w:r>
      <w:r w:rsidRPr="009E05F6">
        <w:rPr>
          <w:rFonts w:ascii="Arial" w:eastAsia="Times New Roman" w:hAnsi="Arial" w:cs="Arial"/>
          <w:sz w:val="24"/>
          <w:szCs w:val="24"/>
          <w:lang w:val="es-CO" w:eastAsia="es-ES"/>
        </w:rPr>
        <w:t xml:space="preserve"> </w:t>
      </w:r>
    </w:p>
    <w:p w:rsidR="00296C1F" w:rsidRDefault="00296C1F" w:rsidP="00296C1F">
      <w:pPr>
        <w:tabs>
          <w:tab w:val="left" w:pos="142"/>
        </w:tabs>
        <w:autoSpaceDE w:val="0"/>
        <w:autoSpaceDN w:val="0"/>
        <w:adjustRightInd w:val="0"/>
        <w:spacing w:after="0" w:line="240" w:lineRule="auto"/>
        <w:ind w:left="505"/>
        <w:contextualSpacing/>
        <w:jc w:val="center"/>
        <w:rPr>
          <w:rFonts w:ascii="Arial" w:eastAsia="Times New Roman" w:hAnsi="Arial" w:cs="Arial"/>
          <w:sz w:val="24"/>
          <w:szCs w:val="24"/>
          <w:lang w:val="es-CO" w:eastAsia="es-ES"/>
        </w:rPr>
      </w:pPr>
    </w:p>
    <w:p w:rsidR="00296C1F" w:rsidRDefault="00296C1F" w:rsidP="00296C1F">
      <w:pPr>
        <w:tabs>
          <w:tab w:val="left" w:pos="142"/>
        </w:tabs>
        <w:autoSpaceDE w:val="0"/>
        <w:autoSpaceDN w:val="0"/>
        <w:adjustRightInd w:val="0"/>
        <w:spacing w:after="0" w:line="240" w:lineRule="auto"/>
        <w:ind w:left="505"/>
        <w:contextualSpacing/>
        <w:jc w:val="center"/>
        <w:rPr>
          <w:rFonts w:ascii="Arial" w:eastAsia="Times New Roman" w:hAnsi="Arial" w:cs="Arial"/>
          <w:sz w:val="24"/>
          <w:szCs w:val="24"/>
          <w:lang w:val="es-CO" w:eastAsia="es-ES"/>
        </w:rPr>
      </w:pPr>
    </w:p>
    <w:p w:rsidR="00296C1F" w:rsidRPr="00AF3255" w:rsidRDefault="00296C1F" w:rsidP="00296C1F">
      <w:pPr>
        <w:tabs>
          <w:tab w:val="left" w:pos="142"/>
        </w:tabs>
        <w:autoSpaceDE w:val="0"/>
        <w:autoSpaceDN w:val="0"/>
        <w:adjustRightInd w:val="0"/>
        <w:spacing w:after="0" w:line="240" w:lineRule="auto"/>
        <w:ind w:left="505"/>
        <w:contextualSpacing/>
        <w:jc w:val="center"/>
        <w:rPr>
          <w:rFonts w:ascii="Arial" w:eastAsia="Times New Roman" w:hAnsi="Arial" w:cs="Arial"/>
          <w:sz w:val="24"/>
          <w:szCs w:val="24"/>
          <w:lang w:val="es-CO" w:eastAsia="es-ES"/>
        </w:rPr>
      </w:pPr>
    </w:p>
    <w:tbl>
      <w:tblPr>
        <w:tblW w:w="5595" w:type="dxa"/>
        <w:jc w:val="center"/>
        <w:tblCellMar>
          <w:left w:w="70" w:type="dxa"/>
          <w:right w:w="70" w:type="dxa"/>
        </w:tblCellMar>
        <w:tblLook w:val="04A0" w:firstRow="1" w:lastRow="0" w:firstColumn="1" w:lastColumn="0" w:noHBand="0" w:noVBand="1"/>
      </w:tblPr>
      <w:tblGrid>
        <w:gridCol w:w="2874"/>
        <w:gridCol w:w="2721"/>
      </w:tblGrid>
      <w:tr w:rsidR="00296C1F" w:rsidRPr="00AF3255" w:rsidTr="00296C1F">
        <w:trPr>
          <w:trHeight w:val="465"/>
          <w:jc w:val="center"/>
        </w:trPr>
        <w:tc>
          <w:tcPr>
            <w:tcW w:w="28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center"/>
            <w:hideMark/>
          </w:tcPr>
          <w:p w:rsidR="00296C1F" w:rsidRPr="00AF3255" w:rsidRDefault="00296C1F" w:rsidP="00C87192">
            <w:pPr>
              <w:spacing w:after="0" w:line="240" w:lineRule="auto"/>
              <w:jc w:val="center"/>
              <w:rPr>
                <w:rFonts w:ascii="Arial" w:eastAsia="Times New Roman" w:hAnsi="Arial" w:cs="Arial"/>
                <w:b/>
                <w:sz w:val="20"/>
                <w:szCs w:val="20"/>
                <w:lang w:val="es-CO" w:eastAsia="es-ES"/>
              </w:rPr>
            </w:pPr>
            <w:r w:rsidRPr="00AF3255">
              <w:rPr>
                <w:rFonts w:ascii="Arial" w:eastAsia="Times New Roman" w:hAnsi="Arial" w:cs="Arial"/>
                <w:b/>
                <w:sz w:val="20"/>
                <w:szCs w:val="20"/>
                <w:lang w:val="es-CO" w:eastAsia="es-ES"/>
              </w:rPr>
              <w:t>Procesos/Procedimientos</w:t>
            </w:r>
          </w:p>
        </w:tc>
        <w:tc>
          <w:tcPr>
            <w:tcW w:w="2721" w:type="dxa"/>
            <w:tcBorders>
              <w:top w:val="single" w:sz="8" w:space="0" w:color="auto"/>
              <w:left w:val="nil"/>
              <w:bottom w:val="single" w:sz="8" w:space="0" w:color="auto"/>
              <w:right w:val="single" w:sz="8" w:space="0" w:color="auto"/>
            </w:tcBorders>
            <w:shd w:val="clear" w:color="auto" w:fill="D0CECE" w:themeFill="background2" w:themeFillShade="E6"/>
            <w:vAlign w:val="center"/>
          </w:tcPr>
          <w:p w:rsidR="00296C1F" w:rsidRPr="00AF3255" w:rsidRDefault="00296C1F" w:rsidP="00C87192">
            <w:pPr>
              <w:spacing w:after="0" w:line="240" w:lineRule="auto"/>
              <w:jc w:val="center"/>
              <w:rPr>
                <w:rFonts w:ascii="Arial" w:eastAsia="Times New Roman" w:hAnsi="Arial" w:cs="Arial"/>
                <w:b/>
                <w:sz w:val="20"/>
                <w:szCs w:val="20"/>
                <w:lang w:val="es-CO" w:eastAsia="es-ES"/>
              </w:rPr>
            </w:pPr>
            <w:r w:rsidRPr="00AF3255">
              <w:rPr>
                <w:rFonts w:ascii="Arial" w:eastAsia="Times New Roman" w:hAnsi="Arial" w:cs="Arial"/>
                <w:b/>
                <w:sz w:val="20"/>
                <w:szCs w:val="20"/>
                <w:lang w:val="es-CO" w:eastAsia="es-ES"/>
              </w:rPr>
              <w:t>Fecha Inicio – Fin (de ejecución)</w:t>
            </w:r>
          </w:p>
        </w:tc>
      </w:tr>
      <w:tr w:rsidR="00296C1F" w:rsidRPr="00AF3255" w:rsidTr="00296C1F">
        <w:trPr>
          <w:trHeight w:val="299"/>
          <w:jc w:val="center"/>
        </w:trPr>
        <w:tc>
          <w:tcPr>
            <w:tcW w:w="2874" w:type="dxa"/>
            <w:tcBorders>
              <w:top w:val="nil"/>
              <w:left w:val="single" w:sz="8" w:space="0" w:color="auto"/>
              <w:bottom w:val="single" w:sz="8" w:space="0" w:color="auto"/>
              <w:right w:val="single" w:sz="8" w:space="0" w:color="auto"/>
            </w:tcBorders>
            <w:shd w:val="clear" w:color="auto" w:fill="auto"/>
            <w:noWrap/>
            <w:vAlign w:val="center"/>
          </w:tcPr>
          <w:p w:rsidR="00296C1F" w:rsidRPr="00AF3255" w:rsidRDefault="009A7751" w:rsidP="00C87192">
            <w:pPr>
              <w:spacing w:after="0" w:line="240" w:lineRule="auto"/>
              <w:jc w:val="center"/>
              <w:rPr>
                <w:rFonts w:ascii="Arial" w:eastAsia="Times New Roman" w:hAnsi="Arial" w:cs="Arial"/>
                <w:sz w:val="20"/>
                <w:szCs w:val="20"/>
                <w:lang w:val="es-CO" w:eastAsia="es-ES"/>
              </w:rPr>
            </w:pPr>
            <w:r w:rsidRPr="009A7751">
              <w:rPr>
                <w:rFonts w:ascii="Arial" w:eastAsia="Times New Roman" w:hAnsi="Arial" w:cs="Arial"/>
                <w:sz w:val="20"/>
                <w:szCs w:val="20"/>
                <w:lang w:val="es-CO" w:eastAsia="es-ES"/>
              </w:rPr>
              <w:t>Control Financiero Contable de las CCF</w:t>
            </w:r>
          </w:p>
        </w:tc>
        <w:tc>
          <w:tcPr>
            <w:tcW w:w="2721" w:type="dxa"/>
            <w:tcBorders>
              <w:top w:val="nil"/>
              <w:left w:val="nil"/>
              <w:bottom w:val="single" w:sz="8" w:space="0" w:color="auto"/>
              <w:right w:val="single" w:sz="8" w:space="0" w:color="auto"/>
            </w:tcBorders>
            <w:vAlign w:val="center"/>
          </w:tcPr>
          <w:p w:rsidR="00296C1F" w:rsidRPr="00AF3255" w:rsidRDefault="009A7751" w:rsidP="009A7751">
            <w:pPr>
              <w:spacing w:after="0" w:line="240" w:lineRule="auto"/>
              <w:jc w:val="center"/>
              <w:rPr>
                <w:rFonts w:ascii="Arial" w:eastAsia="Times New Roman" w:hAnsi="Arial" w:cs="Arial"/>
                <w:sz w:val="20"/>
                <w:szCs w:val="20"/>
                <w:lang w:val="es-CO" w:eastAsia="es-ES"/>
              </w:rPr>
            </w:pPr>
            <w:r>
              <w:rPr>
                <w:rFonts w:ascii="Arial" w:eastAsia="Times New Roman" w:hAnsi="Arial" w:cs="Arial"/>
                <w:sz w:val="20"/>
                <w:szCs w:val="20"/>
                <w:lang w:val="es-CO" w:eastAsia="es-ES"/>
              </w:rPr>
              <w:t>Del 3 de febrero al 3</w:t>
            </w:r>
            <w:r w:rsidR="00296C1F" w:rsidRPr="00AF3255">
              <w:rPr>
                <w:rFonts w:ascii="Arial" w:eastAsia="Times New Roman" w:hAnsi="Arial" w:cs="Arial"/>
                <w:sz w:val="20"/>
                <w:szCs w:val="20"/>
                <w:lang w:val="es-CO" w:eastAsia="es-ES"/>
              </w:rPr>
              <w:t xml:space="preserve"> de </w:t>
            </w:r>
            <w:r>
              <w:rPr>
                <w:rFonts w:ascii="Arial" w:eastAsia="Times New Roman" w:hAnsi="Arial" w:cs="Arial"/>
                <w:sz w:val="20"/>
                <w:szCs w:val="20"/>
                <w:lang w:val="es-CO" w:eastAsia="es-ES"/>
              </w:rPr>
              <w:t>marzo</w:t>
            </w:r>
          </w:p>
        </w:tc>
      </w:tr>
      <w:tr w:rsidR="00296C1F" w:rsidRPr="00AF3255" w:rsidTr="00296C1F">
        <w:trPr>
          <w:trHeight w:val="402"/>
          <w:jc w:val="center"/>
        </w:trPr>
        <w:tc>
          <w:tcPr>
            <w:tcW w:w="2874" w:type="dxa"/>
            <w:tcBorders>
              <w:top w:val="nil"/>
              <w:left w:val="single" w:sz="8" w:space="0" w:color="auto"/>
              <w:bottom w:val="single" w:sz="8" w:space="0" w:color="auto"/>
              <w:right w:val="single" w:sz="8" w:space="0" w:color="auto"/>
            </w:tcBorders>
            <w:shd w:val="clear" w:color="auto" w:fill="auto"/>
            <w:noWrap/>
            <w:vAlign w:val="center"/>
          </w:tcPr>
          <w:p w:rsidR="00296C1F" w:rsidRPr="009A7751" w:rsidRDefault="009A7751" w:rsidP="00C87192">
            <w:pPr>
              <w:spacing w:after="0" w:line="240" w:lineRule="auto"/>
              <w:jc w:val="center"/>
              <w:rPr>
                <w:rFonts w:ascii="Arial" w:eastAsia="Times New Roman" w:hAnsi="Arial" w:cs="Arial"/>
                <w:sz w:val="20"/>
                <w:szCs w:val="20"/>
                <w:lang w:eastAsia="es-ES"/>
              </w:rPr>
            </w:pPr>
            <w:r w:rsidRPr="009A7751">
              <w:rPr>
                <w:rFonts w:ascii="Arial" w:eastAsia="Times New Roman" w:hAnsi="Arial" w:cs="Arial"/>
                <w:sz w:val="20"/>
                <w:szCs w:val="20"/>
                <w:lang w:eastAsia="es-ES"/>
              </w:rPr>
              <w:t>Gestión del Talento Humano</w:t>
            </w:r>
          </w:p>
        </w:tc>
        <w:tc>
          <w:tcPr>
            <w:tcW w:w="2721" w:type="dxa"/>
            <w:tcBorders>
              <w:top w:val="nil"/>
              <w:left w:val="nil"/>
              <w:bottom w:val="single" w:sz="8" w:space="0" w:color="auto"/>
              <w:right w:val="single" w:sz="8" w:space="0" w:color="auto"/>
            </w:tcBorders>
            <w:vAlign w:val="center"/>
          </w:tcPr>
          <w:p w:rsidR="00296C1F" w:rsidRPr="00AF3255" w:rsidRDefault="009A7751" w:rsidP="009A7751">
            <w:pPr>
              <w:spacing w:after="0" w:line="240" w:lineRule="auto"/>
              <w:jc w:val="center"/>
              <w:rPr>
                <w:rFonts w:ascii="Arial" w:eastAsia="Times New Roman" w:hAnsi="Arial" w:cs="Arial"/>
                <w:sz w:val="20"/>
                <w:szCs w:val="20"/>
                <w:lang w:val="es-CO" w:eastAsia="es-ES"/>
              </w:rPr>
            </w:pPr>
            <w:r>
              <w:rPr>
                <w:rFonts w:ascii="Arial" w:eastAsia="Times New Roman" w:hAnsi="Arial" w:cs="Arial"/>
                <w:sz w:val="20"/>
                <w:szCs w:val="20"/>
                <w:lang w:val="es-CO" w:eastAsia="es-ES"/>
              </w:rPr>
              <w:t>Del 3</w:t>
            </w:r>
            <w:r w:rsidR="00296C1F" w:rsidRPr="00AF3255">
              <w:rPr>
                <w:rFonts w:ascii="Arial" w:eastAsia="Times New Roman" w:hAnsi="Arial" w:cs="Arial"/>
                <w:sz w:val="20"/>
                <w:szCs w:val="20"/>
                <w:lang w:val="es-CO" w:eastAsia="es-ES"/>
              </w:rPr>
              <w:t xml:space="preserve"> al </w:t>
            </w:r>
            <w:r>
              <w:rPr>
                <w:rFonts w:ascii="Arial" w:eastAsia="Times New Roman" w:hAnsi="Arial" w:cs="Arial"/>
                <w:sz w:val="20"/>
                <w:szCs w:val="20"/>
                <w:lang w:val="es-CO" w:eastAsia="es-ES"/>
              </w:rPr>
              <w:t>26</w:t>
            </w:r>
            <w:r w:rsidR="00296C1F" w:rsidRPr="00AF3255">
              <w:rPr>
                <w:rFonts w:ascii="Arial" w:eastAsia="Times New Roman" w:hAnsi="Arial" w:cs="Arial"/>
                <w:sz w:val="20"/>
                <w:szCs w:val="20"/>
                <w:lang w:val="es-CO" w:eastAsia="es-ES"/>
              </w:rPr>
              <w:t xml:space="preserve"> de </w:t>
            </w:r>
            <w:r>
              <w:rPr>
                <w:rFonts w:ascii="Arial" w:eastAsia="Times New Roman" w:hAnsi="Arial" w:cs="Arial"/>
                <w:sz w:val="20"/>
                <w:szCs w:val="20"/>
                <w:lang w:val="es-CO" w:eastAsia="es-ES"/>
              </w:rPr>
              <w:t>febrero</w:t>
            </w:r>
          </w:p>
        </w:tc>
      </w:tr>
      <w:tr w:rsidR="00296C1F" w:rsidRPr="00AF3255" w:rsidTr="00296C1F">
        <w:trPr>
          <w:trHeight w:val="402"/>
          <w:jc w:val="center"/>
        </w:trPr>
        <w:tc>
          <w:tcPr>
            <w:tcW w:w="2874" w:type="dxa"/>
            <w:tcBorders>
              <w:top w:val="nil"/>
              <w:left w:val="single" w:sz="8" w:space="0" w:color="auto"/>
              <w:bottom w:val="single" w:sz="8" w:space="0" w:color="auto"/>
              <w:right w:val="single" w:sz="8" w:space="0" w:color="auto"/>
            </w:tcBorders>
            <w:shd w:val="clear" w:color="auto" w:fill="auto"/>
            <w:noWrap/>
            <w:vAlign w:val="center"/>
          </w:tcPr>
          <w:p w:rsidR="00296C1F" w:rsidRPr="00AF3255" w:rsidRDefault="009A7751" w:rsidP="00C87192">
            <w:pPr>
              <w:spacing w:after="0" w:line="240" w:lineRule="auto"/>
              <w:jc w:val="center"/>
              <w:rPr>
                <w:rFonts w:ascii="Arial" w:eastAsia="Times New Roman" w:hAnsi="Arial" w:cs="Arial"/>
                <w:sz w:val="20"/>
                <w:szCs w:val="20"/>
                <w:lang w:val="es-CO" w:eastAsia="es-ES"/>
              </w:rPr>
            </w:pPr>
            <w:r w:rsidRPr="009A7751">
              <w:rPr>
                <w:rFonts w:ascii="Arial" w:eastAsia="Times New Roman" w:hAnsi="Arial" w:cs="Arial"/>
                <w:sz w:val="20"/>
                <w:szCs w:val="20"/>
                <w:lang w:val="es-CO" w:eastAsia="es-ES"/>
              </w:rPr>
              <w:t>Control Legal de Cajas de Compensación Familiar</w:t>
            </w:r>
          </w:p>
        </w:tc>
        <w:tc>
          <w:tcPr>
            <w:tcW w:w="2721" w:type="dxa"/>
            <w:tcBorders>
              <w:top w:val="nil"/>
              <w:left w:val="nil"/>
              <w:bottom w:val="single" w:sz="8" w:space="0" w:color="auto"/>
              <w:right w:val="single" w:sz="8" w:space="0" w:color="auto"/>
            </w:tcBorders>
            <w:vAlign w:val="center"/>
          </w:tcPr>
          <w:p w:rsidR="00296C1F" w:rsidRPr="00AF3255" w:rsidRDefault="00296C1F" w:rsidP="009A7751">
            <w:pPr>
              <w:spacing w:after="0" w:line="240" w:lineRule="auto"/>
              <w:jc w:val="center"/>
              <w:rPr>
                <w:rFonts w:ascii="Arial" w:eastAsia="Times New Roman" w:hAnsi="Arial" w:cs="Arial"/>
                <w:sz w:val="20"/>
                <w:szCs w:val="20"/>
                <w:lang w:val="es-CO" w:eastAsia="es-ES"/>
              </w:rPr>
            </w:pPr>
            <w:r w:rsidRPr="00AF3255">
              <w:rPr>
                <w:rFonts w:ascii="Arial" w:eastAsia="Times New Roman" w:hAnsi="Arial" w:cs="Arial"/>
                <w:sz w:val="20"/>
                <w:szCs w:val="20"/>
                <w:lang w:val="es-CO" w:eastAsia="es-ES"/>
              </w:rPr>
              <w:t xml:space="preserve">Del </w:t>
            </w:r>
            <w:r w:rsidR="009A7751">
              <w:rPr>
                <w:rFonts w:ascii="Arial" w:eastAsia="Times New Roman" w:hAnsi="Arial" w:cs="Arial"/>
                <w:sz w:val="20"/>
                <w:szCs w:val="20"/>
                <w:lang w:val="es-CO" w:eastAsia="es-ES"/>
              </w:rPr>
              <w:t>4</w:t>
            </w:r>
            <w:r w:rsidRPr="00AF3255">
              <w:rPr>
                <w:rFonts w:ascii="Arial" w:eastAsia="Times New Roman" w:hAnsi="Arial" w:cs="Arial"/>
                <w:sz w:val="20"/>
                <w:szCs w:val="20"/>
                <w:lang w:val="es-CO" w:eastAsia="es-ES"/>
              </w:rPr>
              <w:t xml:space="preserve"> al 27 de </w:t>
            </w:r>
            <w:r w:rsidR="009A7751">
              <w:rPr>
                <w:rFonts w:ascii="Arial" w:eastAsia="Times New Roman" w:hAnsi="Arial" w:cs="Arial"/>
                <w:sz w:val="20"/>
                <w:szCs w:val="20"/>
                <w:lang w:val="es-CO" w:eastAsia="es-ES"/>
              </w:rPr>
              <w:t>febrero</w:t>
            </w:r>
          </w:p>
        </w:tc>
      </w:tr>
      <w:tr w:rsidR="00296C1F" w:rsidRPr="00AF3255" w:rsidTr="00296C1F">
        <w:trPr>
          <w:trHeight w:val="530"/>
          <w:jc w:val="center"/>
        </w:trPr>
        <w:tc>
          <w:tcPr>
            <w:tcW w:w="2874" w:type="dxa"/>
            <w:tcBorders>
              <w:top w:val="nil"/>
              <w:left w:val="single" w:sz="8" w:space="0" w:color="auto"/>
              <w:bottom w:val="single" w:sz="8" w:space="0" w:color="auto"/>
              <w:right w:val="single" w:sz="8" w:space="0" w:color="auto"/>
            </w:tcBorders>
            <w:shd w:val="clear" w:color="auto" w:fill="auto"/>
            <w:noWrap/>
            <w:vAlign w:val="center"/>
          </w:tcPr>
          <w:p w:rsidR="00296C1F" w:rsidRPr="00AF3255" w:rsidRDefault="009A7751" w:rsidP="00C87192">
            <w:pPr>
              <w:spacing w:after="0" w:line="240" w:lineRule="auto"/>
              <w:jc w:val="center"/>
              <w:rPr>
                <w:rFonts w:ascii="Arial" w:eastAsia="Times New Roman" w:hAnsi="Arial" w:cs="Arial"/>
                <w:sz w:val="20"/>
                <w:szCs w:val="20"/>
                <w:lang w:val="es-CO" w:eastAsia="es-ES"/>
              </w:rPr>
            </w:pPr>
            <w:r w:rsidRPr="009A7751">
              <w:rPr>
                <w:rFonts w:ascii="Arial" w:eastAsia="Times New Roman" w:hAnsi="Arial" w:cs="Arial"/>
                <w:sz w:val="20"/>
                <w:szCs w:val="20"/>
                <w:lang w:val="es-CO" w:eastAsia="es-ES"/>
              </w:rPr>
              <w:t>Almacén e Inventarios</w:t>
            </w:r>
          </w:p>
        </w:tc>
        <w:tc>
          <w:tcPr>
            <w:tcW w:w="2721" w:type="dxa"/>
            <w:tcBorders>
              <w:top w:val="nil"/>
              <w:left w:val="nil"/>
              <w:bottom w:val="single" w:sz="8" w:space="0" w:color="auto"/>
              <w:right w:val="single" w:sz="8" w:space="0" w:color="auto"/>
            </w:tcBorders>
            <w:vAlign w:val="center"/>
          </w:tcPr>
          <w:p w:rsidR="00296C1F" w:rsidRPr="00AF3255" w:rsidRDefault="00296C1F" w:rsidP="009A7751">
            <w:pPr>
              <w:spacing w:after="0" w:line="240" w:lineRule="auto"/>
              <w:jc w:val="center"/>
              <w:rPr>
                <w:rFonts w:ascii="Arial" w:eastAsia="Times New Roman" w:hAnsi="Arial" w:cs="Arial"/>
                <w:sz w:val="20"/>
                <w:szCs w:val="20"/>
                <w:lang w:val="es-CO" w:eastAsia="es-ES"/>
              </w:rPr>
            </w:pPr>
            <w:r w:rsidRPr="00AF3255">
              <w:rPr>
                <w:rFonts w:ascii="Arial" w:eastAsia="Times New Roman" w:hAnsi="Arial" w:cs="Arial"/>
                <w:sz w:val="20"/>
                <w:szCs w:val="20"/>
                <w:lang w:val="es-CO" w:eastAsia="es-ES"/>
              </w:rPr>
              <w:t xml:space="preserve">Del </w:t>
            </w:r>
            <w:r w:rsidR="009A7751">
              <w:rPr>
                <w:rFonts w:ascii="Arial" w:eastAsia="Times New Roman" w:hAnsi="Arial" w:cs="Arial"/>
                <w:sz w:val="20"/>
                <w:szCs w:val="20"/>
                <w:lang w:val="es-CO" w:eastAsia="es-ES"/>
              </w:rPr>
              <w:t>4 al 30 de marzo</w:t>
            </w:r>
          </w:p>
        </w:tc>
      </w:tr>
      <w:tr w:rsidR="00296C1F" w:rsidRPr="00AF3255" w:rsidTr="00296C1F">
        <w:trPr>
          <w:trHeight w:val="445"/>
          <w:jc w:val="center"/>
        </w:trPr>
        <w:tc>
          <w:tcPr>
            <w:tcW w:w="2874" w:type="dxa"/>
            <w:tcBorders>
              <w:top w:val="nil"/>
              <w:left w:val="single" w:sz="8" w:space="0" w:color="auto"/>
              <w:bottom w:val="single" w:sz="8" w:space="0" w:color="auto"/>
              <w:right w:val="single" w:sz="8" w:space="0" w:color="auto"/>
            </w:tcBorders>
            <w:shd w:val="clear" w:color="auto" w:fill="auto"/>
            <w:noWrap/>
            <w:vAlign w:val="center"/>
          </w:tcPr>
          <w:p w:rsidR="00296C1F" w:rsidRPr="00AF3255" w:rsidRDefault="009A7751" w:rsidP="00C87192">
            <w:pPr>
              <w:spacing w:after="0" w:line="240" w:lineRule="auto"/>
              <w:jc w:val="center"/>
              <w:rPr>
                <w:rFonts w:ascii="Arial" w:eastAsia="Times New Roman" w:hAnsi="Arial" w:cs="Arial"/>
                <w:sz w:val="20"/>
                <w:szCs w:val="20"/>
                <w:lang w:val="es-CO" w:eastAsia="es-ES"/>
              </w:rPr>
            </w:pPr>
            <w:r w:rsidRPr="009A7751">
              <w:rPr>
                <w:rFonts w:ascii="Arial" w:eastAsia="Times New Roman" w:hAnsi="Arial" w:cs="Arial"/>
                <w:sz w:val="20"/>
                <w:szCs w:val="20"/>
                <w:lang w:val="es-CO" w:eastAsia="es-ES"/>
              </w:rPr>
              <w:t>Gestión Documental</w:t>
            </w:r>
          </w:p>
        </w:tc>
        <w:tc>
          <w:tcPr>
            <w:tcW w:w="2721" w:type="dxa"/>
            <w:tcBorders>
              <w:top w:val="nil"/>
              <w:left w:val="nil"/>
              <w:bottom w:val="single" w:sz="8" w:space="0" w:color="auto"/>
              <w:right w:val="single" w:sz="8" w:space="0" w:color="auto"/>
            </w:tcBorders>
            <w:vAlign w:val="center"/>
          </w:tcPr>
          <w:p w:rsidR="00296C1F" w:rsidRPr="00AF3255" w:rsidRDefault="00296C1F" w:rsidP="009A7751">
            <w:pPr>
              <w:spacing w:after="0" w:line="240" w:lineRule="auto"/>
              <w:jc w:val="center"/>
              <w:rPr>
                <w:rFonts w:ascii="Arial" w:eastAsia="Times New Roman" w:hAnsi="Arial" w:cs="Arial"/>
                <w:sz w:val="20"/>
                <w:szCs w:val="20"/>
                <w:lang w:val="es-CO" w:eastAsia="es-ES"/>
              </w:rPr>
            </w:pPr>
            <w:r w:rsidRPr="00AF3255">
              <w:rPr>
                <w:rFonts w:ascii="Arial" w:eastAsia="Times New Roman" w:hAnsi="Arial" w:cs="Arial"/>
                <w:sz w:val="20"/>
                <w:szCs w:val="20"/>
                <w:lang w:val="es-CO" w:eastAsia="es-ES"/>
              </w:rPr>
              <w:t xml:space="preserve">Del </w:t>
            </w:r>
            <w:r w:rsidR="009A7751">
              <w:rPr>
                <w:rFonts w:ascii="Arial" w:eastAsia="Times New Roman" w:hAnsi="Arial" w:cs="Arial"/>
                <w:sz w:val="20"/>
                <w:szCs w:val="20"/>
                <w:lang w:val="es-CO" w:eastAsia="es-ES"/>
              </w:rPr>
              <w:t>4 al 31 de marzo</w:t>
            </w:r>
          </w:p>
        </w:tc>
      </w:tr>
      <w:tr w:rsidR="00296C1F" w:rsidRPr="00AF3255" w:rsidTr="00296C1F">
        <w:trPr>
          <w:trHeight w:val="445"/>
          <w:jc w:val="center"/>
        </w:trPr>
        <w:tc>
          <w:tcPr>
            <w:tcW w:w="2874" w:type="dxa"/>
            <w:tcBorders>
              <w:top w:val="nil"/>
              <w:left w:val="single" w:sz="8" w:space="0" w:color="auto"/>
              <w:bottom w:val="single" w:sz="8" w:space="0" w:color="auto"/>
              <w:right w:val="single" w:sz="8" w:space="0" w:color="auto"/>
            </w:tcBorders>
            <w:shd w:val="clear" w:color="auto" w:fill="auto"/>
            <w:noWrap/>
            <w:vAlign w:val="center"/>
          </w:tcPr>
          <w:p w:rsidR="00296C1F" w:rsidRPr="00AF3255" w:rsidRDefault="009A7751" w:rsidP="00C87192">
            <w:pPr>
              <w:spacing w:after="0" w:line="240" w:lineRule="auto"/>
              <w:jc w:val="center"/>
              <w:rPr>
                <w:rFonts w:ascii="Arial" w:eastAsia="Times New Roman" w:hAnsi="Arial" w:cs="Arial"/>
                <w:sz w:val="20"/>
                <w:szCs w:val="20"/>
                <w:lang w:val="es-CO" w:eastAsia="es-ES"/>
              </w:rPr>
            </w:pPr>
            <w:r w:rsidRPr="009A7751">
              <w:rPr>
                <w:rFonts w:ascii="Arial" w:eastAsia="Times New Roman" w:hAnsi="Arial" w:cs="Arial"/>
                <w:sz w:val="20"/>
                <w:szCs w:val="20"/>
                <w:lang w:val="es-CO" w:eastAsia="es-ES"/>
              </w:rPr>
              <w:t>Evaluación de Gestión de Cajas de Compensación Familiar</w:t>
            </w:r>
          </w:p>
        </w:tc>
        <w:tc>
          <w:tcPr>
            <w:tcW w:w="2721" w:type="dxa"/>
            <w:tcBorders>
              <w:top w:val="nil"/>
              <w:left w:val="nil"/>
              <w:bottom w:val="single" w:sz="8" w:space="0" w:color="auto"/>
              <w:right w:val="single" w:sz="8" w:space="0" w:color="auto"/>
            </w:tcBorders>
            <w:vAlign w:val="center"/>
          </w:tcPr>
          <w:p w:rsidR="00296C1F" w:rsidRPr="00AF3255" w:rsidRDefault="009A7751" w:rsidP="00C87192">
            <w:pPr>
              <w:spacing w:after="0" w:line="240" w:lineRule="auto"/>
              <w:jc w:val="center"/>
              <w:rPr>
                <w:rFonts w:ascii="Arial" w:eastAsia="Times New Roman" w:hAnsi="Arial" w:cs="Arial"/>
                <w:sz w:val="20"/>
                <w:szCs w:val="20"/>
                <w:lang w:val="es-CO" w:eastAsia="es-ES"/>
              </w:rPr>
            </w:pPr>
            <w:r w:rsidRPr="00AF3255">
              <w:rPr>
                <w:rFonts w:ascii="Arial" w:eastAsia="Times New Roman" w:hAnsi="Arial" w:cs="Arial"/>
                <w:sz w:val="20"/>
                <w:szCs w:val="20"/>
                <w:lang w:val="es-CO" w:eastAsia="es-ES"/>
              </w:rPr>
              <w:t xml:space="preserve">Del </w:t>
            </w:r>
            <w:r>
              <w:rPr>
                <w:rFonts w:ascii="Arial" w:eastAsia="Times New Roman" w:hAnsi="Arial" w:cs="Arial"/>
                <w:sz w:val="20"/>
                <w:szCs w:val="20"/>
                <w:lang w:val="es-CO" w:eastAsia="es-ES"/>
              </w:rPr>
              <w:t>4 al 30 de marzo</w:t>
            </w:r>
          </w:p>
        </w:tc>
      </w:tr>
      <w:tr w:rsidR="00296C1F" w:rsidRPr="00AF3255" w:rsidTr="00296C1F">
        <w:trPr>
          <w:trHeight w:val="257"/>
          <w:jc w:val="center"/>
        </w:trPr>
        <w:tc>
          <w:tcPr>
            <w:tcW w:w="2874" w:type="dxa"/>
            <w:tcBorders>
              <w:top w:val="nil"/>
              <w:left w:val="single" w:sz="8" w:space="0" w:color="auto"/>
              <w:bottom w:val="single" w:sz="8" w:space="0" w:color="auto"/>
              <w:right w:val="single" w:sz="8" w:space="0" w:color="auto"/>
            </w:tcBorders>
            <w:shd w:val="clear" w:color="auto" w:fill="D0CECE" w:themeFill="background2" w:themeFillShade="E6"/>
            <w:noWrap/>
            <w:vAlign w:val="center"/>
            <w:hideMark/>
          </w:tcPr>
          <w:p w:rsidR="00296C1F" w:rsidRPr="00AF3255" w:rsidRDefault="00296C1F" w:rsidP="00C87192">
            <w:pPr>
              <w:spacing w:after="0" w:line="240" w:lineRule="auto"/>
              <w:jc w:val="center"/>
              <w:rPr>
                <w:rFonts w:ascii="Arial" w:eastAsia="Times New Roman" w:hAnsi="Arial" w:cs="Arial"/>
                <w:b/>
                <w:sz w:val="20"/>
                <w:szCs w:val="20"/>
                <w:lang w:val="es-CO" w:eastAsia="es-ES"/>
              </w:rPr>
            </w:pPr>
            <w:r w:rsidRPr="00AF3255">
              <w:rPr>
                <w:rFonts w:ascii="Arial" w:eastAsia="Times New Roman" w:hAnsi="Arial" w:cs="Arial"/>
                <w:b/>
                <w:sz w:val="20"/>
                <w:szCs w:val="20"/>
                <w:lang w:val="es-CO" w:eastAsia="es-ES"/>
              </w:rPr>
              <w:t>TOTAL</w:t>
            </w:r>
          </w:p>
        </w:tc>
        <w:tc>
          <w:tcPr>
            <w:tcW w:w="2721" w:type="dxa"/>
            <w:tcBorders>
              <w:top w:val="nil"/>
              <w:left w:val="nil"/>
              <w:bottom w:val="single" w:sz="8" w:space="0" w:color="auto"/>
              <w:right w:val="single" w:sz="8" w:space="0" w:color="auto"/>
            </w:tcBorders>
            <w:shd w:val="clear" w:color="auto" w:fill="D0CECE" w:themeFill="background2" w:themeFillShade="E6"/>
          </w:tcPr>
          <w:p w:rsidR="00296C1F" w:rsidRPr="00AF3255" w:rsidRDefault="009A7751" w:rsidP="00C87192">
            <w:pPr>
              <w:spacing w:after="0" w:line="240" w:lineRule="auto"/>
              <w:jc w:val="center"/>
              <w:rPr>
                <w:rFonts w:ascii="Arial" w:eastAsia="Times New Roman" w:hAnsi="Arial" w:cs="Arial"/>
                <w:b/>
                <w:sz w:val="20"/>
                <w:szCs w:val="20"/>
                <w:lang w:val="es-CO" w:eastAsia="es-ES"/>
              </w:rPr>
            </w:pPr>
            <w:r>
              <w:rPr>
                <w:rFonts w:ascii="Arial" w:eastAsia="Times New Roman" w:hAnsi="Arial" w:cs="Arial"/>
                <w:b/>
                <w:sz w:val="20"/>
                <w:szCs w:val="20"/>
                <w:lang w:val="es-CO" w:eastAsia="es-ES"/>
              </w:rPr>
              <w:t>6</w:t>
            </w:r>
          </w:p>
        </w:tc>
      </w:tr>
    </w:tbl>
    <w:p w:rsidR="00296C1F" w:rsidRPr="009E0516" w:rsidRDefault="00296C1F" w:rsidP="009E0516">
      <w:pPr>
        <w:autoSpaceDE w:val="0"/>
        <w:autoSpaceDN w:val="0"/>
        <w:adjustRightInd w:val="0"/>
        <w:spacing w:after="0" w:line="240" w:lineRule="auto"/>
        <w:ind w:left="490"/>
        <w:jc w:val="center"/>
        <w:rPr>
          <w:rFonts w:ascii="Arial" w:eastAsiaTheme="minorEastAsia" w:hAnsi="Arial" w:cs="Arial"/>
          <w:b/>
          <w:color w:val="333333"/>
          <w:sz w:val="17"/>
          <w:szCs w:val="17"/>
        </w:rPr>
      </w:pPr>
      <w:r w:rsidRPr="009E0516">
        <w:rPr>
          <w:rFonts w:ascii="Arial" w:eastAsiaTheme="minorEastAsia" w:hAnsi="Arial" w:cs="Arial"/>
          <w:b/>
          <w:color w:val="333333"/>
          <w:sz w:val="17"/>
          <w:szCs w:val="17"/>
        </w:rPr>
        <w:t>Tabla 1. Período de ejecución Auditorías</w:t>
      </w:r>
    </w:p>
    <w:p w:rsidR="00296C1F" w:rsidRDefault="00296C1F" w:rsidP="00296C1F">
      <w:pPr>
        <w:tabs>
          <w:tab w:val="left" w:pos="142"/>
        </w:tabs>
        <w:autoSpaceDE w:val="0"/>
        <w:autoSpaceDN w:val="0"/>
        <w:adjustRightInd w:val="0"/>
        <w:spacing w:after="0" w:line="240" w:lineRule="auto"/>
        <w:ind w:left="505"/>
        <w:contextualSpacing/>
        <w:jc w:val="center"/>
        <w:rPr>
          <w:rFonts w:eastAsia="Times New Roman"/>
          <w:b/>
          <w:bCs/>
          <w:sz w:val="20"/>
          <w:szCs w:val="20"/>
          <w:lang w:eastAsia="es-ES"/>
        </w:rPr>
      </w:pPr>
    </w:p>
    <w:p w:rsidR="00296C1F" w:rsidRDefault="00296C1F" w:rsidP="00296C1F">
      <w:pPr>
        <w:tabs>
          <w:tab w:val="left" w:pos="142"/>
        </w:tabs>
        <w:autoSpaceDE w:val="0"/>
        <w:autoSpaceDN w:val="0"/>
        <w:adjustRightInd w:val="0"/>
        <w:spacing w:after="0" w:line="240" w:lineRule="auto"/>
        <w:ind w:left="505"/>
        <w:contextualSpacing/>
        <w:jc w:val="center"/>
        <w:rPr>
          <w:rFonts w:eastAsia="Times New Roman"/>
          <w:b/>
          <w:bCs/>
          <w:sz w:val="20"/>
          <w:szCs w:val="20"/>
          <w:lang w:eastAsia="es-ES"/>
        </w:rPr>
      </w:pPr>
    </w:p>
    <w:p w:rsidR="00296C1F" w:rsidRDefault="00296C1F" w:rsidP="00296C1F">
      <w:pPr>
        <w:tabs>
          <w:tab w:val="left" w:pos="142"/>
        </w:tabs>
        <w:autoSpaceDE w:val="0"/>
        <w:autoSpaceDN w:val="0"/>
        <w:adjustRightInd w:val="0"/>
        <w:spacing w:after="0" w:line="240" w:lineRule="auto"/>
        <w:ind w:left="505"/>
        <w:contextualSpacing/>
        <w:jc w:val="center"/>
        <w:rPr>
          <w:rFonts w:ascii="Arial" w:eastAsia="Times New Roman" w:hAnsi="Arial" w:cs="Arial"/>
          <w:sz w:val="24"/>
          <w:szCs w:val="24"/>
          <w:lang w:val="es-CO" w:eastAsia="es-ES"/>
        </w:rPr>
      </w:pPr>
    </w:p>
    <w:p w:rsidR="00296C1F" w:rsidRPr="00AF3255" w:rsidRDefault="00296C1F" w:rsidP="00296C1F">
      <w:pPr>
        <w:tabs>
          <w:tab w:val="left" w:pos="142"/>
        </w:tabs>
        <w:autoSpaceDE w:val="0"/>
        <w:autoSpaceDN w:val="0"/>
        <w:adjustRightInd w:val="0"/>
        <w:spacing w:after="0" w:line="240" w:lineRule="auto"/>
        <w:ind w:left="505"/>
        <w:contextualSpacing/>
        <w:jc w:val="center"/>
        <w:rPr>
          <w:rFonts w:ascii="Arial" w:eastAsia="Times New Roman" w:hAnsi="Arial" w:cs="Arial"/>
          <w:sz w:val="24"/>
          <w:szCs w:val="24"/>
          <w:lang w:val="es-CO" w:eastAsia="es-ES"/>
        </w:rPr>
      </w:pPr>
    </w:p>
    <w:p w:rsidR="00EC65DA" w:rsidRPr="009E05F6" w:rsidRDefault="00EC65DA" w:rsidP="00EC65DA">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 xml:space="preserve">A continuación se presentan los resultados obtenidos frente a los numerales de la norma NTCGP 1000:2009 y MECI 1000:2005, de acuerdo al número de </w:t>
      </w:r>
      <w:r>
        <w:rPr>
          <w:rFonts w:ascii="Arial" w:eastAsia="Times New Roman" w:hAnsi="Arial" w:cs="Arial"/>
          <w:sz w:val="24"/>
          <w:szCs w:val="24"/>
          <w:lang w:val="es-CO" w:eastAsia="es-ES"/>
        </w:rPr>
        <w:t xml:space="preserve">no conformidades </w:t>
      </w:r>
      <w:r w:rsidRPr="009E05F6">
        <w:rPr>
          <w:rFonts w:ascii="Arial" w:eastAsia="Times New Roman" w:hAnsi="Arial" w:cs="Arial"/>
          <w:sz w:val="24"/>
          <w:szCs w:val="24"/>
          <w:lang w:val="es-CO" w:eastAsia="es-ES"/>
        </w:rPr>
        <w:t xml:space="preserve">y oportunidades de mejora por procesos. </w:t>
      </w:r>
    </w:p>
    <w:p w:rsidR="00296C1F"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p>
    <w:p w:rsidR="00296C1F"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p>
    <w:p w:rsidR="00296C1F"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p>
    <w:p w:rsidR="00EC65DA" w:rsidRDefault="00EC65DA"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p>
    <w:p w:rsidR="00CD21D8" w:rsidRDefault="00CD21D8"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p>
    <w:p w:rsidR="00EC65DA" w:rsidRPr="00BC714A" w:rsidRDefault="00506F1F" w:rsidP="00EC65DA">
      <w:pPr>
        <w:pStyle w:val="Default"/>
        <w:numPr>
          <w:ilvl w:val="1"/>
          <w:numId w:val="11"/>
        </w:numPr>
        <w:rPr>
          <w:rFonts w:ascii="Arial" w:eastAsia="Times New Roman" w:hAnsi="Arial" w:cs="Arial"/>
          <w:b/>
          <w:color w:val="auto"/>
          <w:lang w:eastAsia="es-ES"/>
        </w:rPr>
      </w:pPr>
      <w:r w:rsidRPr="00BC714A">
        <w:rPr>
          <w:rFonts w:ascii="Arial" w:eastAsia="Times New Roman" w:hAnsi="Arial" w:cs="Arial"/>
          <w:b/>
          <w:color w:val="auto"/>
          <w:lang w:eastAsia="es-ES"/>
        </w:rPr>
        <w:lastRenderedPageBreak/>
        <w:t>OPORTUNIDADES DE MEJORA</w:t>
      </w:r>
      <w:r w:rsidR="00EC65DA" w:rsidRPr="00BC714A">
        <w:rPr>
          <w:rFonts w:ascii="Arial" w:eastAsia="Times New Roman" w:hAnsi="Arial" w:cs="Arial"/>
          <w:b/>
          <w:color w:val="auto"/>
          <w:lang w:eastAsia="es-ES"/>
        </w:rPr>
        <w:t xml:space="preserve"> </w:t>
      </w:r>
    </w:p>
    <w:p w:rsidR="00EC65DA" w:rsidRDefault="00EC65DA" w:rsidP="00EC65DA">
      <w:pPr>
        <w:pStyle w:val="Default"/>
        <w:ind w:left="792"/>
        <w:rPr>
          <w:rFonts w:ascii="Arial" w:hAnsi="Arial" w:cs="Arial"/>
          <w:color w:val="auto"/>
          <w:sz w:val="23"/>
          <w:szCs w:val="23"/>
        </w:rPr>
      </w:pPr>
    </w:p>
    <w:p w:rsidR="00296C1F"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p>
    <w:tbl>
      <w:tblPr>
        <w:tblStyle w:val="Tablaconcuadrcula3"/>
        <w:tblW w:w="9005" w:type="dxa"/>
        <w:tblInd w:w="675" w:type="dxa"/>
        <w:tblLook w:val="04A0" w:firstRow="1" w:lastRow="0" w:firstColumn="1" w:lastColumn="0" w:noHBand="0" w:noVBand="1"/>
      </w:tblPr>
      <w:tblGrid>
        <w:gridCol w:w="2712"/>
        <w:gridCol w:w="868"/>
        <w:gridCol w:w="868"/>
        <w:gridCol w:w="1085"/>
        <w:gridCol w:w="868"/>
        <w:gridCol w:w="868"/>
        <w:gridCol w:w="868"/>
        <w:gridCol w:w="868"/>
      </w:tblGrid>
      <w:tr w:rsidR="0089001E" w:rsidRPr="0089001E" w:rsidTr="0089001E">
        <w:trPr>
          <w:cantSplit/>
          <w:trHeight w:val="1632"/>
        </w:trPr>
        <w:tc>
          <w:tcPr>
            <w:tcW w:w="2712" w:type="dxa"/>
            <w:shd w:val="clear" w:color="auto" w:fill="F2F2F2" w:themeFill="background1" w:themeFillShade="F2"/>
            <w:vAlign w:val="center"/>
          </w:tcPr>
          <w:p w:rsidR="0089001E" w:rsidRPr="0089001E" w:rsidRDefault="0089001E" w:rsidP="0089001E">
            <w:pPr>
              <w:spacing w:after="0" w:line="240" w:lineRule="auto"/>
              <w:jc w:val="center"/>
              <w:rPr>
                <w:b/>
                <w:lang w:val="es-CO"/>
              </w:rPr>
            </w:pPr>
            <w:r w:rsidRPr="0089001E">
              <w:rPr>
                <w:b/>
                <w:lang w:val="es-CO"/>
              </w:rPr>
              <w:t>MECI 1000:2005</w:t>
            </w:r>
          </w:p>
        </w:tc>
        <w:tc>
          <w:tcPr>
            <w:tcW w:w="868" w:type="dxa"/>
            <w:shd w:val="clear" w:color="auto" w:fill="F2F2F2" w:themeFill="background1" w:themeFillShade="F2"/>
            <w:textDirection w:val="btLr"/>
            <w:vAlign w:val="cente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89001E">
              <w:rPr>
                <w:rFonts w:cs="Arial"/>
                <w:b/>
                <w:color w:val="333333"/>
                <w:sz w:val="17"/>
                <w:szCs w:val="17"/>
                <w:lang w:val="es-CO"/>
              </w:rPr>
              <w:t>Control Financiero Contable de las CCF</w:t>
            </w:r>
          </w:p>
        </w:tc>
        <w:tc>
          <w:tcPr>
            <w:tcW w:w="868" w:type="dxa"/>
            <w:shd w:val="clear" w:color="auto" w:fill="F2F2F2" w:themeFill="background1" w:themeFillShade="F2"/>
            <w:textDirection w:val="btLr"/>
            <w:vAlign w:val="cente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89001E">
              <w:rPr>
                <w:rFonts w:cs="Arial"/>
                <w:b/>
                <w:color w:val="333333"/>
                <w:sz w:val="17"/>
                <w:szCs w:val="17"/>
                <w:lang w:val="es-CO"/>
              </w:rPr>
              <w:t>Gestión del Talento Humano</w:t>
            </w:r>
          </w:p>
        </w:tc>
        <w:tc>
          <w:tcPr>
            <w:tcW w:w="1085" w:type="dxa"/>
            <w:shd w:val="clear" w:color="auto" w:fill="F2F2F2" w:themeFill="background1" w:themeFillShade="F2"/>
            <w:textDirection w:val="btLr"/>
            <w:vAlign w:val="cente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89001E">
              <w:rPr>
                <w:rFonts w:cs="Arial"/>
                <w:b/>
                <w:color w:val="333333"/>
                <w:sz w:val="17"/>
                <w:szCs w:val="17"/>
                <w:lang w:val="es-CO"/>
              </w:rPr>
              <w:t>Control Legal de Cajas de Compensación Familiar</w:t>
            </w:r>
          </w:p>
        </w:tc>
        <w:tc>
          <w:tcPr>
            <w:tcW w:w="868" w:type="dxa"/>
            <w:shd w:val="clear" w:color="auto" w:fill="F2F2F2" w:themeFill="background1" w:themeFillShade="F2"/>
            <w:textDirection w:val="btLr"/>
            <w:vAlign w:val="cente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89001E">
              <w:rPr>
                <w:rFonts w:cs="Arial"/>
                <w:b/>
                <w:color w:val="333333"/>
                <w:sz w:val="17"/>
                <w:szCs w:val="17"/>
                <w:lang w:val="es-CO"/>
              </w:rPr>
              <w:t>Almacén e Inventarios</w:t>
            </w:r>
          </w:p>
        </w:tc>
        <w:tc>
          <w:tcPr>
            <w:tcW w:w="868" w:type="dxa"/>
            <w:shd w:val="clear" w:color="auto" w:fill="F2F2F2" w:themeFill="background1" w:themeFillShade="F2"/>
            <w:textDirection w:val="btLr"/>
            <w:vAlign w:val="cente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89001E">
              <w:rPr>
                <w:rFonts w:cs="Arial"/>
                <w:b/>
                <w:color w:val="333333"/>
                <w:sz w:val="17"/>
                <w:szCs w:val="17"/>
                <w:lang w:val="es-CO"/>
              </w:rPr>
              <w:t>Gestión Documental</w:t>
            </w:r>
          </w:p>
        </w:tc>
        <w:tc>
          <w:tcPr>
            <w:tcW w:w="868" w:type="dxa"/>
            <w:shd w:val="clear" w:color="auto" w:fill="F2F2F2" w:themeFill="background1" w:themeFillShade="F2"/>
            <w:textDirection w:val="btLr"/>
            <w:vAlign w:val="cente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89001E">
              <w:rPr>
                <w:rFonts w:cs="Arial"/>
                <w:b/>
                <w:color w:val="333333"/>
                <w:sz w:val="17"/>
                <w:szCs w:val="17"/>
                <w:lang w:val="es-CO"/>
              </w:rPr>
              <w:t>Evaluación de Gestión de C.C.F.</w:t>
            </w:r>
          </w:p>
        </w:tc>
        <w:tc>
          <w:tcPr>
            <w:tcW w:w="868" w:type="dxa"/>
            <w:shd w:val="clear" w:color="auto" w:fill="F2F2F2" w:themeFill="background1" w:themeFillShade="F2"/>
            <w:textDirection w:val="btLr"/>
            <w:vAlign w:val="center"/>
          </w:tcPr>
          <w:p w:rsidR="0089001E" w:rsidRPr="0089001E" w:rsidRDefault="0089001E" w:rsidP="0089001E">
            <w:pPr>
              <w:tabs>
                <w:tab w:val="left" w:pos="142"/>
              </w:tabs>
              <w:autoSpaceDE w:val="0"/>
              <w:autoSpaceDN w:val="0"/>
              <w:adjustRightInd w:val="0"/>
              <w:spacing w:after="0" w:line="240" w:lineRule="auto"/>
              <w:ind w:left="113" w:right="113"/>
              <w:jc w:val="center"/>
              <w:rPr>
                <w:b/>
                <w:sz w:val="20"/>
                <w:szCs w:val="20"/>
                <w:lang w:val="es-CO"/>
              </w:rPr>
            </w:pPr>
            <w:r w:rsidRPr="0089001E">
              <w:rPr>
                <w:rFonts w:cs="Arial"/>
                <w:b/>
                <w:color w:val="333333"/>
                <w:sz w:val="17"/>
                <w:szCs w:val="17"/>
                <w:lang w:val="es-CO"/>
              </w:rPr>
              <w:t>TOTAL</w:t>
            </w:r>
          </w:p>
        </w:tc>
      </w:tr>
      <w:tr w:rsidR="0089001E" w:rsidRPr="0089001E" w:rsidTr="0089001E">
        <w:trPr>
          <w:trHeight w:val="389"/>
        </w:trPr>
        <w:tc>
          <w:tcPr>
            <w:tcW w:w="2712" w:type="dxa"/>
            <w:vAlign w:val="center"/>
          </w:tcPr>
          <w:p w:rsidR="0089001E" w:rsidRPr="0089001E" w:rsidRDefault="0089001E" w:rsidP="0089001E">
            <w:pPr>
              <w:spacing w:after="0" w:line="240" w:lineRule="auto"/>
              <w:rPr>
                <w:lang w:val="es-CO"/>
              </w:rPr>
            </w:pPr>
            <w:r w:rsidRPr="0089001E">
              <w:rPr>
                <w:lang w:val="es-CO"/>
              </w:rPr>
              <w:t>1.2.1 Planes y programas</w:t>
            </w:r>
          </w:p>
        </w:tc>
        <w:tc>
          <w:tcPr>
            <w:tcW w:w="868" w:type="dxa"/>
            <w:vAlign w:val="center"/>
          </w:tcPr>
          <w:p w:rsidR="0089001E" w:rsidRPr="0089001E" w:rsidRDefault="0089001E" w:rsidP="0089001E">
            <w:pPr>
              <w:spacing w:after="0" w:line="240" w:lineRule="auto"/>
              <w:jc w:val="center"/>
              <w:rPr>
                <w:lang w:val="es-CO"/>
              </w:rPr>
            </w:pPr>
          </w:p>
        </w:tc>
        <w:tc>
          <w:tcPr>
            <w:tcW w:w="868" w:type="dxa"/>
            <w:vAlign w:val="center"/>
          </w:tcPr>
          <w:p w:rsidR="0089001E" w:rsidRPr="0089001E" w:rsidRDefault="0089001E" w:rsidP="0089001E">
            <w:pPr>
              <w:spacing w:after="0" w:line="240" w:lineRule="auto"/>
              <w:jc w:val="center"/>
              <w:rPr>
                <w:lang w:val="es-CO"/>
              </w:rPr>
            </w:pPr>
          </w:p>
        </w:tc>
        <w:tc>
          <w:tcPr>
            <w:tcW w:w="1085" w:type="dxa"/>
            <w:vAlign w:val="center"/>
          </w:tcPr>
          <w:p w:rsidR="0089001E" w:rsidRPr="0089001E" w:rsidRDefault="0089001E" w:rsidP="0089001E">
            <w:pPr>
              <w:spacing w:after="0" w:line="240" w:lineRule="auto"/>
              <w:jc w:val="center"/>
              <w:rPr>
                <w:lang w:val="es-CO"/>
              </w:rPr>
            </w:pPr>
          </w:p>
        </w:tc>
        <w:tc>
          <w:tcPr>
            <w:tcW w:w="868" w:type="dxa"/>
            <w:vAlign w:val="center"/>
          </w:tcPr>
          <w:p w:rsidR="0089001E" w:rsidRPr="0089001E" w:rsidRDefault="0089001E" w:rsidP="0089001E">
            <w:pPr>
              <w:spacing w:after="0" w:line="240" w:lineRule="auto"/>
              <w:jc w:val="center"/>
              <w:rPr>
                <w:lang w:val="es-CO"/>
              </w:rPr>
            </w:pPr>
          </w:p>
        </w:tc>
        <w:tc>
          <w:tcPr>
            <w:tcW w:w="868" w:type="dxa"/>
            <w:vAlign w:val="center"/>
          </w:tcPr>
          <w:p w:rsidR="0089001E" w:rsidRPr="0089001E" w:rsidRDefault="0089001E" w:rsidP="0089001E">
            <w:pPr>
              <w:spacing w:after="0" w:line="240" w:lineRule="auto"/>
              <w:jc w:val="center"/>
              <w:rPr>
                <w:lang w:val="es-CO"/>
              </w:rPr>
            </w:pPr>
          </w:p>
        </w:tc>
        <w:tc>
          <w:tcPr>
            <w:tcW w:w="868" w:type="dxa"/>
            <w:vAlign w:val="center"/>
          </w:tcPr>
          <w:p w:rsidR="0089001E" w:rsidRPr="0089001E" w:rsidRDefault="0089001E" w:rsidP="0089001E">
            <w:pPr>
              <w:spacing w:after="0" w:line="240" w:lineRule="auto"/>
              <w:jc w:val="center"/>
              <w:rPr>
                <w:lang w:val="es-CO"/>
              </w:rPr>
            </w:pPr>
            <w:r w:rsidRPr="0089001E">
              <w:rPr>
                <w:lang w:val="es-CO"/>
              </w:rPr>
              <w:t>1</w:t>
            </w:r>
          </w:p>
        </w:tc>
        <w:tc>
          <w:tcPr>
            <w:tcW w:w="868" w:type="dxa"/>
            <w:shd w:val="clear" w:color="auto" w:fill="F2F2F2" w:themeFill="background1" w:themeFillShade="F2"/>
            <w:vAlign w:val="center"/>
          </w:tcPr>
          <w:p w:rsidR="0089001E" w:rsidRPr="0089001E" w:rsidRDefault="0089001E" w:rsidP="0089001E">
            <w:pPr>
              <w:spacing w:after="0" w:line="240" w:lineRule="auto"/>
              <w:jc w:val="center"/>
              <w:rPr>
                <w:lang w:val="es-CO"/>
              </w:rPr>
            </w:pPr>
            <w:r w:rsidRPr="0089001E">
              <w:rPr>
                <w:lang w:val="es-CO"/>
              </w:rPr>
              <w:t>1</w:t>
            </w:r>
          </w:p>
        </w:tc>
      </w:tr>
      <w:tr w:rsidR="0089001E" w:rsidRPr="0089001E" w:rsidTr="0089001E">
        <w:trPr>
          <w:trHeight w:val="312"/>
        </w:trPr>
        <w:tc>
          <w:tcPr>
            <w:tcW w:w="2712" w:type="dxa"/>
          </w:tcPr>
          <w:p w:rsidR="0089001E" w:rsidRPr="0089001E" w:rsidRDefault="0089001E" w:rsidP="0089001E">
            <w:pPr>
              <w:spacing w:after="0" w:line="240" w:lineRule="auto"/>
              <w:rPr>
                <w:lang w:val="es-CO"/>
              </w:rPr>
            </w:pPr>
            <w:r w:rsidRPr="0089001E">
              <w:rPr>
                <w:lang w:val="es-CO"/>
              </w:rPr>
              <w:t>2.1.3 Controles</w:t>
            </w:r>
          </w:p>
        </w:tc>
        <w:tc>
          <w:tcPr>
            <w:tcW w:w="868" w:type="dxa"/>
            <w:vAlign w:val="center"/>
          </w:tcPr>
          <w:p w:rsidR="0089001E" w:rsidRPr="0089001E" w:rsidRDefault="0089001E" w:rsidP="0089001E">
            <w:pPr>
              <w:spacing w:after="0" w:line="240" w:lineRule="auto"/>
              <w:jc w:val="center"/>
              <w:rPr>
                <w:lang w:val="es-CO"/>
              </w:rPr>
            </w:pPr>
          </w:p>
        </w:tc>
        <w:tc>
          <w:tcPr>
            <w:tcW w:w="868" w:type="dxa"/>
            <w:vAlign w:val="center"/>
          </w:tcPr>
          <w:p w:rsidR="0089001E" w:rsidRPr="0089001E" w:rsidRDefault="0089001E" w:rsidP="0089001E">
            <w:pPr>
              <w:spacing w:after="0" w:line="240" w:lineRule="auto"/>
              <w:jc w:val="center"/>
              <w:rPr>
                <w:lang w:val="es-CO"/>
              </w:rPr>
            </w:pPr>
          </w:p>
        </w:tc>
        <w:tc>
          <w:tcPr>
            <w:tcW w:w="1085" w:type="dxa"/>
            <w:vAlign w:val="center"/>
          </w:tcPr>
          <w:p w:rsidR="0089001E" w:rsidRPr="0089001E" w:rsidRDefault="0089001E" w:rsidP="0089001E">
            <w:pPr>
              <w:spacing w:after="0" w:line="240" w:lineRule="auto"/>
              <w:jc w:val="center"/>
              <w:rPr>
                <w:lang w:val="es-CO"/>
              </w:rPr>
            </w:pPr>
          </w:p>
        </w:tc>
        <w:tc>
          <w:tcPr>
            <w:tcW w:w="868" w:type="dxa"/>
            <w:vAlign w:val="center"/>
          </w:tcPr>
          <w:p w:rsidR="0089001E" w:rsidRPr="0089001E" w:rsidRDefault="0089001E" w:rsidP="0089001E">
            <w:pPr>
              <w:spacing w:after="0" w:line="240" w:lineRule="auto"/>
              <w:jc w:val="center"/>
              <w:rPr>
                <w:lang w:val="es-CO"/>
              </w:rPr>
            </w:pPr>
          </w:p>
        </w:tc>
        <w:tc>
          <w:tcPr>
            <w:tcW w:w="868" w:type="dxa"/>
            <w:vAlign w:val="center"/>
          </w:tcPr>
          <w:p w:rsidR="0089001E" w:rsidRPr="0089001E" w:rsidRDefault="0089001E" w:rsidP="0089001E">
            <w:pPr>
              <w:spacing w:after="0" w:line="240" w:lineRule="auto"/>
              <w:jc w:val="center"/>
              <w:rPr>
                <w:lang w:val="es-CO"/>
              </w:rPr>
            </w:pPr>
            <w:r w:rsidRPr="0089001E">
              <w:rPr>
                <w:lang w:val="es-CO"/>
              </w:rPr>
              <w:t>1</w:t>
            </w:r>
          </w:p>
        </w:tc>
        <w:tc>
          <w:tcPr>
            <w:tcW w:w="868" w:type="dxa"/>
            <w:vAlign w:val="center"/>
          </w:tcPr>
          <w:p w:rsidR="0089001E" w:rsidRPr="0089001E" w:rsidRDefault="0089001E" w:rsidP="0089001E">
            <w:pPr>
              <w:spacing w:after="0" w:line="240" w:lineRule="auto"/>
              <w:jc w:val="center"/>
              <w:rPr>
                <w:lang w:val="es-CO"/>
              </w:rPr>
            </w:pPr>
            <w:r w:rsidRPr="0089001E">
              <w:rPr>
                <w:lang w:val="es-CO"/>
              </w:rPr>
              <w:t>1</w:t>
            </w:r>
          </w:p>
        </w:tc>
        <w:tc>
          <w:tcPr>
            <w:tcW w:w="868" w:type="dxa"/>
            <w:shd w:val="clear" w:color="auto" w:fill="F2F2F2" w:themeFill="background1" w:themeFillShade="F2"/>
            <w:vAlign w:val="center"/>
          </w:tcPr>
          <w:p w:rsidR="0089001E" w:rsidRPr="0089001E" w:rsidRDefault="0089001E" w:rsidP="0089001E">
            <w:pPr>
              <w:spacing w:after="0" w:line="240" w:lineRule="auto"/>
              <w:jc w:val="center"/>
              <w:rPr>
                <w:lang w:val="es-CO"/>
              </w:rPr>
            </w:pPr>
            <w:r w:rsidRPr="0089001E">
              <w:rPr>
                <w:lang w:val="es-CO"/>
              </w:rPr>
              <w:t>2</w:t>
            </w:r>
          </w:p>
        </w:tc>
      </w:tr>
      <w:tr w:rsidR="0089001E" w:rsidRPr="0089001E" w:rsidTr="0089001E">
        <w:trPr>
          <w:trHeight w:val="578"/>
        </w:trPr>
        <w:tc>
          <w:tcPr>
            <w:tcW w:w="2712" w:type="dxa"/>
          </w:tcPr>
          <w:p w:rsidR="0089001E" w:rsidRPr="0089001E" w:rsidRDefault="0089001E" w:rsidP="0089001E">
            <w:pPr>
              <w:spacing w:after="0" w:line="240" w:lineRule="auto"/>
              <w:rPr>
                <w:lang w:val="es-CO"/>
              </w:rPr>
            </w:pPr>
            <w:r w:rsidRPr="0089001E">
              <w:rPr>
                <w:lang w:val="es-CO"/>
              </w:rPr>
              <w:t>2.1.5 Manual de procedimientos</w:t>
            </w:r>
          </w:p>
        </w:tc>
        <w:tc>
          <w:tcPr>
            <w:tcW w:w="868" w:type="dxa"/>
            <w:vAlign w:val="center"/>
          </w:tcPr>
          <w:p w:rsidR="0089001E" w:rsidRPr="0089001E" w:rsidRDefault="0089001E" w:rsidP="0089001E">
            <w:pPr>
              <w:spacing w:after="0" w:line="240" w:lineRule="auto"/>
              <w:jc w:val="center"/>
              <w:rPr>
                <w:lang w:val="es-CO"/>
              </w:rPr>
            </w:pPr>
          </w:p>
        </w:tc>
        <w:tc>
          <w:tcPr>
            <w:tcW w:w="868" w:type="dxa"/>
            <w:vAlign w:val="center"/>
          </w:tcPr>
          <w:p w:rsidR="0089001E" w:rsidRPr="0089001E" w:rsidRDefault="0089001E" w:rsidP="0089001E">
            <w:pPr>
              <w:spacing w:after="0" w:line="240" w:lineRule="auto"/>
              <w:jc w:val="center"/>
              <w:rPr>
                <w:lang w:val="es-CO"/>
              </w:rPr>
            </w:pPr>
          </w:p>
        </w:tc>
        <w:tc>
          <w:tcPr>
            <w:tcW w:w="1085" w:type="dxa"/>
            <w:vAlign w:val="center"/>
          </w:tcPr>
          <w:p w:rsidR="0089001E" w:rsidRPr="0089001E" w:rsidRDefault="0089001E" w:rsidP="0089001E">
            <w:pPr>
              <w:spacing w:after="0" w:line="240" w:lineRule="auto"/>
              <w:jc w:val="center"/>
              <w:rPr>
                <w:lang w:val="es-CO"/>
              </w:rPr>
            </w:pPr>
          </w:p>
        </w:tc>
        <w:tc>
          <w:tcPr>
            <w:tcW w:w="868" w:type="dxa"/>
            <w:vAlign w:val="center"/>
          </w:tcPr>
          <w:p w:rsidR="0089001E" w:rsidRPr="0089001E" w:rsidRDefault="0089001E" w:rsidP="0089001E">
            <w:pPr>
              <w:spacing w:after="0" w:line="240" w:lineRule="auto"/>
              <w:jc w:val="center"/>
              <w:rPr>
                <w:lang w:val="es-CO"/>
              </w:rPr>
            </w:pPr>
            <w:r w:rsidRPr="0089001E">
              <w:rPr>
                <w:lang w:val="es-CO"/>
              </w:rPr>
              <w:t>2</w:t>
            </w:r>
          </w:p>
        </w:tc>
        <w:tc>
          <w:tcPr>
            <w:tcW w:w="868" w:type="dxa"/>
            <w:vAlign w:val="center"/>
          </w:tcPr>
          <w:p w:rsidR="0089001E" w:rsidRPr="0089001E" w:rsidRDefault="0089001E" w:rsidP="0089001E">
            <w:pPr>
              <w:spacing w:after="0" w:line="240" w:lineRule="auto"/>
              <w:jc w:val="center"/>
              <w:rPr>
                <w:lang w:val="es-CO"/>
              </w:rPr>
            </w:pPr>
          </w:p>
        </w:tc>
        <w:tc>
          <w:tcPr>
            <w:tcW w:w="868" w:type="dxa"/>
            <w:vAlign w:val="center"/>
          </w:tcPr>
          <w:p w:rsidR="0089001E" w:rsidRPr="0089001E" w:rsidRDefault="0089001E" w:rsidP="0089001E">
            <w:pPr>
              <w:spacing w:after="0" w:line="240" w:lineRule="auto"/>
              <w:jc w:val="center"/>
              <w:rPr>
                <w:lang w:val="es-CO"/>
              </w:rPr>
            </w:pPr>
          </w:p>
        </w:tc>
        <w:tc>
          <w:tcPr>
            <w:tcW w:w="868" w:type="dxa"/>
            <w:shd w:val="clear" w:color="auto" w:fill="F2F2F2" w:themeFill="background1" w:themeFillShade="F2"/>
            <w:vAlign w:val="center"/>
          </w:tcPr>
          <w:p w:rsidR="0089001E" w:rsidRPr="0089001E" w:rsidRDefault="0089001E" w:rsidP="0089001E">
            <w:pPr>
              <w:spacing w:after="0" w:line="240" w:lineRule="auto"/>
              <w:jc w:val="center"/>
              <w:rPr>
                <w:lang w:val="es-CO"/>
              </w:rPr>
            </w:pPr>
            <w:r w:rsidRPr="0089001E">
              <w:rPr>
                <w:lang w:val="es-CO"/>
              </w:rPr>
              <w:t>2</w:t>
            </w:r>
          </w:p>
        </w:tc>
      </w:tr>
      <w:tr w:rsidR="0089001E" w:rsidRPr="0089001E" w:rsidTr="0089001E">
        <w:trPr>
          <w:trHeight w:val="315"/>
        </w:trPr>
        <w:tc>
          <w:tcPr>
            <w:tcW w:w="2712" w:type="dxa"/>
            <w:shd w:val="clear" w:color="auto" w:fill="F2F2F2" w:themeFill="background1" w:themeFillShade="F2"/>
          </w:tcPr>
          <w:p w:rsidR="0089001E" w:rsidRPr="0089001E" w:rsidRDefault="0089001E" w:rsidP="0089001E">
            <w:pPr>
              <w:spacing w:after="0" w:line="240" w:lineRule="auto"/>
              <w:jc w:val="center"/>
              <w:rPr>
                <w:b/>
                <w:lang w:val="es-CO"/>
              </w:rPr>
            </w:pPr>
            <w:r w:rsidRPr="0089001E">
              <w:rPr>
                <w:b/>
                <w:lang w:val="es-CO"/>
              </w:rPr>
              <w:t>NTC GP 1000:2004</w:t>
            </w:r>
          </w:p>
        </w:tc>
        <w:tc>
          <w:tcPr>
            <w:tcW w:w="868" w:type="dxa"/>
            <w:shd w:val="clear" w:color="auto" w:fill="F2F2F2" w:themeFill="background1" w:themeFillShade="F2"/>
            <w:textDirection w:val="btL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868" w:type="dxa"/>
            <w:shd w:val="clear" w:color="auto" w:fill="F2F2F2" w:themeFill="background1" w:themeFillShade="F2"/>
            <w:textDirection w:val="btL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1085" w:type="dxa"/>
            <w:shd w:val="clear" w:color="auto" w:fill="F2F2F2" w:themeFill="background1" w:themeFillShade="F2"/>
            <w:textDirection w:val="btL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868" w:type="dxa"/>
            <w:shd w:val="clear" w:color="auto" w:fill="F2F2F2" w:themeFill="background1" w:themeFillShade="F2"/>
            <w:textDirection w:val="btL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868" w:type="dxa"/>
            <w:shd w:val="clear" w:color="auto" w:fill="F2F2F2" w:themeFill="background1" w:themeFillShade="F2"/>
            <w:textDirection w:val="btL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868" w:type="dxa"/>
            <w:shd w:val="clear" w:color="auto" w:fill="F2F2F2" w:themeFill="background1" w:themeFillShade="F2"/>
            <w:textDirection w:val="btLr"/>
          </w:tcPr>
          <w:p w:rsidR="0089001E" w:rsidRPr="0089001E" w:rsidRDefault="0089001E" w:rsidP="0089001E">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868" w:type="dxa"/>
            <w:shd w:val="clear" w:color="auto" w:fill="F2F2F2" w:themeFill="background1" w:themeFillShade="F2"/>
            <w:textDirection w:val="btLr"/>
          </w:tcPr>
          <w:p w:rsidR="0089001E" w:rsidRPr="0089001E" w:rsidRDefault="0089001E" w:rsidP="0089001E">
            <w:pPr>
              <w:tabs>
                <w:tab w:val="left" w:pos="142"/>
              </w:tabs>
              <w:autoSpaceDE w:val="0"/>
              <w:autoSpaceDN w:val="0"/>
              <w:adjustRightInd w:val="0"/>
              <w:spacing w:after="0" w:line="240" w:lineRule="auto"/>
              <w:ind w:left="113" w:right="113"/>
              <w:jc w:val="center"/>
              <w:rPr>
                <w:b/>
                <w:sz w:val="16"/>
                <w:szCs w:val="16"/>
                <w:lang w:val="es-CO"/>
              </w:rPr>
            </w:pPr>
          </w:p>
        </w:tc>
      </w:tr>
      <w:tr w:rsidR="0089001E" w:rsidRPr="0089001E" w:rsidTr="0089001E">
        <w:trPr>
          <w:trHeight w:val="392"/>
        </w:trPr>
        <w:tc>
          <w:tcPr>
            <w:tcW w:w="2712" w:type="dxa"/>
          </w:tcPr>
          <w:p w:rsidR="0089001E" w:rsidRPr="0089001E" w:rsidRDefault="0089001E" w:rsidP="0089001E">
            <w:pPr>
              <w:spacing w:after="0" w:line="240" w:lineRule="auto"/>
              <w:rPr>
                <w:lang w:val="es-CO"/>
              </w:rPr>
            </w:pPr>
            <w:r w:rsidRPr="0089001E">
              <w:rPr>
                <w:lang w:val="es-CO"/>
              </w:rPr>
              <w:t>4.2.1 Generalidades</w:t>
            </w: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1085" w:type="dxa"/>
          </w:tcPr>
          <w:p w:rsidR="0089001E" w:rsidRPr="0089001E" w:rsidRDefault="0089001E" w:rsidP="0089001E">
            <w:pPr>
              <w:spacing w:after="0" w:line="240" w:lineRule="auto"/>
              <w:jc w:val="center"/>
              <w:rPr>
                <w:lang w:val="es-CO"/>
              </w:rPr>
            </w:pPr>
            <w:r w:rsidRPr="0089001E">
              <w:rPr>
                <w:lang w:val="es-CO"/>
              </w:rPr>
              <w:t>1</w:t>
            </w: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868" w:type="dxa"/>
            <w:shd w:val="clear" w:color="auto" w:fill="F2F2F2" w:themeFill="background1" w:themeFillShade="F2"/>
          </w:tcPr>
          <w:p w:rsidR="0089001E" w:rsidRPr="0089001E" w:rsidRDefault="0089001E" w:rsidP="0089001E">
            <w:pPr>
              <w:spacing w:after="0" w:line="240" w:lineRule="auto"/>
              <w:jc w:val="center"/>
              <w:rPr>
                <w:lang w:val="es-CO"/>
              </w:rPr>
            </w:pPr>
            <w:r w:rsidRPr="0089001E">
              <w:rPr>
                <w:lang w:val="es-CO"/>
              </w:rPr>
              <w:t>1</w:t>
            </w:r>
          </w:p>
        </w:tc>
      </w:tr>
      <w:tr w:rsidR="0089001E" w:rsidRPr="0089001E" w:rsidTr="0089001E">
        <w:trPr>
          <w:trHeight w:val="196"/>
        </w:trPr>
        <w:tc>
          <w:tcPr>
            <w:tcW w:w="2712" w:type="dxa"/>
          </w:tcPr>
          <w:p w:rsidR="0089001E" w:rsidRPr="0089001E" w:rsidRDefault="0089001E" w:rsidP="0089001E">
            <w:pPr>
              <w:spacing w:after="0" w:line="240" w:lineRule="auto"/>
              <w:rPr>
                <w:lang w:val="es-CO"/>
              </w:rPr>
            </w:pPr>
            <w:r w:rsidRPr="0089001E">
              <w:rPr>
                <w:lang w:val="es-CO"/>
              </w:rPr>
              <w:t>4.2.3 Control de documentos</w:t>
            </w: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1085"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r w:rsidRPr="0089001E">
              <w:rPr>
                <w:lang w:val="es-CO"/>
              </w:rPr>
              <w:t>1</w:t>
            </w: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868" w:type="dxa"/>
            <w:shd w:val="clear" w:color="auto" w:fill="F2F2F2" w:themeFill="background1" w:themeFillShade="F2"/>
          </w:tcPr>
          <w:p w:rsidR="0089001E" w:rsidRPr="0089001E" w:rsidRDefault="0089001E" w:rsidP="0089001E">
            <w:pPr>
              <w:spacing w:after="0" w:line="240" w:lineRule="auto"/>
              <w:jc w:val="center"/>
              <w:rPr>
                <w:lang w:val="es-CO"/>
              </w:rPr>
            </w:pPr>
            <w:r w:rsidRPr="0089001E">
              <w:rPr>
                <w:lang w:val="es-CO"/>
              </w:rPr>
              <w:t>1</w:t>
            </w:r>
          </w:p>
        </w:tc>
      </w:tr>
      <w:tr w:rsidR="0089001E" w:rsidRPr="0089001E" w:rsidTr="0089001E">
        <w:trPr>
          <w:trHeight w:val="392"/>
        </w:trPr>
        <w:tc>
          <w:tcPr>
            <w:tcW w:w="2712" w:type="dxa"/>
          </w:tcPr>
          <w:p w:rsidR="0089001E" w:rsidRPr="0089001E" w:rsidRDefault="0089001E" w:rsidP="0089001E">
            <w:pPr>
              <w:spacing w:after="0" w:line="240" w:lineRule="auto"/>
              <w:rPr>
                <w:lang w:val="es-CO"/>
              </w:rPr>
            </w:pPr>
            <w:r w:rsidRPr="0089001E">
              <w:rPr>
                <w:lang w:val="es-CO"/>
              </w:rPr>
              <w:t>4.2.4 Control de los registros</w:t>
            </w: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1085" w:type="dxa"/>
          </w:tcPr>
          <w:p w:rsidR="0089001E" w:rsidRPr="0089001E" w:rsidRDefault="0089001E" w:rsidP="0089001E">
            <w:pPr>
              <w:spacing w:after="0" w:line="240" w:lineRule="auto"/>
              <w:jc w:val="center"/>
              <w:rPr>
                <w:lang w:val="es-CO"/>
              </w:rPr>
            </w:pPr>
            <w:r w:rsidRPr="0089001E">
              <w:rPr>
                <w:lang w:val="es-CO"/>
              </w:rPr>
              <w:t>1</w:t>
            </w: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868" w:type="dxa"/>
            <w:shd w:val="clear" w:color="auto" w:fill="F2F2F2" w:themeFill="background1" w:themeFillShade="F2"/>
          </w:tcPr>
          <w:p w:rsidR="0089001E" w:rsidRPr="0089001E" w:rsidRDefault="0089001E" w:rsidP="0089001E">
            <w:pPr>
              <w:spacing w:after="0" w:line="240" w:lineRule="auto"/>
              <w:jc w:val="center"/>
              <w:rPr>
                <w:lang w:val="es-CO"/>
              </w:rPr>
            </w:pPr>
            <w:r w:rsidRPr="0089001E">
              <w:rPr>
                <w:lang w:val="es-CO"/>
              </w:rPr>
              <w:t>1</w:t>
            </w:r>
          </w:p>
        </w:tc>
      </w:tr>
      <w:tr w:rsidR="0089001E" w:rsidRPr="0089001E" w:rsidTr="0089001E">
        <w:trPr>
          <w:trHeight w:val="342"/>
        </w:trPr>
        <w:tc>
          <w:tcPr>
            <w:tcW w:w="2712" w:type="dxa"/>
          </w:tcPr>
          <w:p w:rsidR="0089001E" w:rsidRPr="0089001E" w:rsidRDefault="0089001E" w:rsidP="0089001E">
            <w:pPr>
              <w:spacing w:after="0" w:line="240" w:lineRule="auto"/>
              <w:rPr>
                <w:lang w:val="es-CO"/>
              </w:rPr>
            </w:pPr>
            <w:r w:rsidRPr="0089001E">
              <w:rPr>
                <w:lang w:val="es-CO"/>
              </w:rPr>
              <w:t>7.2.1 Determinación de los requisitos relacionados con el producto y/o servicio</w:t>
            </w: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1085"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r w:rsidRPr="0089001E">
              <w:rPr>
                <w:lang w:val="es-CO"/>
              </w:rPr>
              <w:t>1</w:t>
            </w: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868" w:type="dxa"/>
            <w:shd w:val="clear" w:color="auto" w:fill="F2F2F2" w:themeFill="background1" w:themeFillShade="F2"/>
          </w:tcPr>
          <w:p w:rsidR="0089001E" w:rsidRPr="0089001E" w:rsidRDefault="0089001E" w:rsidP="0089001E">
            <w:pPr>
              <w:spacing w:after="0" w:line="240" w:lineRule="auto"/>
              <w:jc w:val="center"/>
              <w:rPr>
                <w:lang w:val="es-CO"/>
              </w:rPr>
            </w:pPr>
            <w:r w:rsidRPr="0089001E">
              <w:rPr>
                <w:lang w:val="es-CO"/>
              </w:rPr>
              <w:t>1</w:t>
            </w:r>
          </w:p>
        </w:tc>
      </w:tr>
      <w:tr w:rsidR="0089001E" w:rsidRPr="0089001E" w:rsidTr="0089001E">
        <w:trPr>
          <w:trHeight w:val="473"/>
        </w:trPr>
        <w:tc>
          <w:tcPr>
            <w:tcW w:w="2712" w:type="dxa"/>
          </w:tcPr>
          <w:p w:rsidR="0089001E" w:rsidRPr="0089001E" w:rsidRDefault="0089001E" w:rsidP="0089001E">
            <w:pPr>
              <w:spacing w:after="0" w:line="240" w:lineRule="auto"/>
              <w:rPr>
                <w:lang w:val="es-CO"/>
              </w:rPr>
            </w:pPr>
            <w:r w:rsidRPr="0089001E">
              <w:rPr>
                <w:lang w:val="es-CO"/>
              </w:rPr>
              <w:t>7.5.3 Identificación y trazabilidad</w:t>
            </w: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1085"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r w:rsidRPr="0089001E">
              <w:rPr>
                <w:lang w:val="es-CO"/>
              </w:rPr>
              <w:t>1</w:t>
            </w:r>
          </w:p>
        </w:tc>
        <w:tc>
          <w:tcPr>
            <w:tcW w:w="868" w:type="dxa"/>
            <w:shd w:val="clear" w:color="auto" w:fill="F2F2F2" w:themeFill="background1" w:themeFillShade="F2"/>
          </w:tcPr>
          <w:p w:rsidR="0089001E" w:rsidRPr="0089001E" w:rsidRDefault="0089001E" w:rsidP="0089001E">
            <w:pPr>
              <w:spacing w:after="0" w:line="240" w:lineRule="auto"/>
              <w:jc w:val="center"/>
              <w:rPr>
                <w:lang w:val="es-CO"/>
              </w:rPr>
            </w:pPr>
            <w:r w:rsidRPr="0089001E">
              <w:rPr>
                <w:lang w:val="es-CO"/>
              </w:rPr>
              <w:t>1</w:t>
            </w:r>
          </w:p>
        </w:tc>
      </w:tr>
      <w:tr w:rsidR="0089001E" w:rsidRPr="0089001E" w:rsidTr="0089001E">
        <w:trPr>
          <w:trHeight w:val="207"/>
        </w:trPr>
        <w:tc>
          <w:tcPr>
            <w:tcW w:w="2712" w:type="dxa"/>
          </w:tcPr>
          <w:p w:rsidR="0089001E" w:rsidRPr="0089001E" w:rsidRDefault="0089001E" w:rsidP="0089001E">
            <w:pPr>
              <w:spacing w:after="0" w:line="240" w:lineRule="auto"/>
              <w:rPr>
                <w:b/>
                <w:lang w:val="es-CO"/>
              </w:rPr>
            </w:pPr>
            <w:r w:rsidRPr="0089001E">
              <w:rPr>
                <w:b/>
                <w:lang w:val="es-CO"/>
              </w:rPr>
              <w:t>Total general</w:t>
            </w:r>
          </w:p>
        </w:tc>
        <w:tc>
          <w:tcPr>
            <w:tcW w:w="868" w:type="dxa"/>
          </w:tcPr>
          <w:p w:rsidR="0089001E" w:rsidRPr="0089001E" w:rsidRDefault="0089001E" w:rsidP="0089001E">
            <w:pPr>
              <w:spacing w:after="0" w:line="240" w:lineRule="auto"/>
              <w:jc w:val="center"/>
              <w:rPr>
                <w:lang w:val="es-CO"/>
              </w:rPr>
            </w:pPr>
          </w:p>
        </w:tc>
        <w:tc>
          <w:tcPr>
            <w:tcW w:w="868" w:type="dxa"/>
          </w:tcPr>
          <w:p w:rsidR="0089001E" w:rsidRPr="0089001E" w:rsidRDefault="0089001E" w:rsidP="0089001E">
            <w:pPr>
              <w:spacing w:after="0" w:line="240" w:lineRule="auto"/>
              <w:jc w:val="center"/>
              <w:rPr>
                <w:lang w:val="es-CO"/>
              </w:rPr>
            </w:pPr>
          </w:p>
        </w:tc>
        <w:tc>
          <w:tcPr>
            <w:tcW w:w="1085" w:type="dxa"/>
          </w:tcPr>
          <w:p w:rsidR="0089001E" w:rsidRPr="0089001E" w:rsidRDefault="0089001E" w:rsidP="0089001E">
            <w:pPr>
              <w:spacing w:after="0" w:line="240" w:lineRule="auto"/>
              <w:jc w:val="center"/>
              <w:rPr>
                <w:lang w:val="es-CO"/>
              </w:rPr>
            </w:pPr>
            <w:r w:rsidRPr="0089001E">
              <w:rPr>
                <w:lang w:val="es-CO"/>
              </w:rPr>
              <w:t>2</w:t>
            </w:r>
          </w:p>
        </w:tc>
        <w:tc>
          <w:tcPr>
            <w:tcW w:w="868" w:type="dxa"/>
          </w:tcPr>
          <w:p w:rsidR="0089001E" w:rsidRPr="0089001E" w:rsidRDefault="0089001E" w:rsidP="0089001E">
            <w:pPr>
              <w:spacing w:after="0" w:line="240" w:lineRule="auto"/>
              <w:jc w:val="center"/>
              <w:rPr>
                <w:lang w:val="es-CO"/>
              </w:rPr>
            </w:pPr>
            <w:r w:rsidRPr="0089001E">
              <w:rPr>
                <w:lang w:val="es-CO"/>
              </w:rPr>
              <w:t>4</w:t>
            </w:r>
          </w:p>
        </w:tc>
        <w:tc>
          <w:tcPr>
            <w:tcW w:w="868" w:type="dxa"/>
          </w:tcPr>
          <w:p w:rsidR="0089001E" w:rsidRPr="0089001E" w:rsidRDefault="0089001E" w:rsidP="0089001E">
            <w:pPr>
              <w:spacing w:after="0" w:line="240" w:lineRule="auto"/>
              <w:jc w:val="center"/>
              <w:rPr>
                <w:lang w:val="es-CO"/>
              </w:rPr>
            </w:pPr>
            <w:r w:rsidRPr="0089001E">
              <w:rPr>
                <w:lang w:val="es-CO"/>
              </w:rPr>
              <w:t>1</w:t>
            </w:r>
          </w:p>
        </w:tc>
        <w:tc>
          <w:tcPr>
            <w:tcW w:w="868" w:type="dxa"/>
          </w:tcPr>
          <w:p w:rsidR="0089001E" w:rsidRPr="0089001E" w:rsidRDefault="0089001E" w:rsidP="0089001E">
            <w:pPr>
              <w:spacing w:after="0" w:line="240" w:lineRule="auto"/>
              <w:jc w:val="center"/>
              <w:rPr>
                <w:lang w:val="es-CO"/>
              </w:rPr>
            </w:pPr>
            <w:r w:rsidRPr="0089001E">
              <w:rPr>
                <w:lang w:val="es-CO"/>
              </w:rPr>
              <w:t>3</w:t>
            </w:r>
          </w:p>
        </w:tc>
        <w:tc>
          <w:tcPr>
            <w:tcW w:w="868" w:type="dxa"/>
            <w:shd w:val="clear" w:color="auto" w:fill="F2F2F2" w:themeFill="background1" w:themeFillShade="F2"/>
          </w:tcPr>
          <w:p w:rsidR="0089001E" w:rsidRPr="0089001E" w:rsidRDefault="0089001E" w:rsidP="0089001E">
            <w:pPr>
              <w:spacing w:after="0" w:line="240" w:lineRule="auto"/>
              <w:jc w:val="center"/>
              <w:rPr>
                <w:b/>
                <w:lang w:val="es-CO"/>
              </w:rPr>
            </w:pPr>
            <w:r w:rsidRPr="0089001E">
              <w:rPr>
                <w:b/>
                <w:lang w:val="es-CO"/>
              </w:rPr>
              <w:t>10</w:t>
            </w:r>
          </w:p>
        </w:tc>
      </w:tr>
    </w:tbl>
    <w:p w:rsidR="00E60ADF" w:rsidRDefault="00E60ADF"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p>
    <w:p w:rsidR="0037148C" w:rsidRDefault="0037148C" w:rsidP="0040539D">
      <w:pPr>
        <w:tabs>
          <w:tab w:val="left" w:pos="142"/>
        </w:tabs>
        <w:autoSpaceDE w:val="0"/>
        <w:autoSpaceDN w:val="0"/>
        <w:adjustRightInd w:val="0"/>
        <w:spacing w:after="0" w:line="240" w:lineRule="auto"/>
        <w:ind w:left="505"/>
        <w:contextualSpacing/>
        <w:jc w:val="both"/>
        <w:rPr>
          <w:rFonts w:ascii="Arial" w:eastAsia="Times New Roman" w:hAnsi="Arial" w:cs="Arial"/>
          <w:sz w:val="24"/>
          <w:szCs w:val="24"/>
          <w:lang w:val="es-CO" w:eastAsia="es-ES"/>
        </w:rPr>
      </w:pPr>
    </w:p>
    <w:p w:rsidR="0040539D" w:rsidRPr="009E05F6" w:rsidRDefault="0040539D" w:rsidP="0040539D">
      <w:pPr>
        <w:tabs>
          <w:tab w:val="left" w:pos="142"/>
        </w:tabs>
        <w:autoSpaceDE w:val="0"/>
        <w:autoSpaceDN w:val="0"/>
        <w:adjustRightInd w:val="0"/>
        <w:spacing w:after="0" w:line="240" w:lineRule="auto"/>
        <w:ind w:left="505"/>
        <w:contextualSpacing/>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 xml:space="preserve">Con respecto a los procesos con mayor número de oportunidades de mejora en su orden son: </w:t>
      </w:r>
      <w:r w:rsidRPr="009E05F6">
        <w:rPr>
          <w:rFonts w:ascii="Arial" w:eastAsia="Times New Roman" w:hAnsi="Arial" w:cs="Arial"/>
          <w:sz w:val="24"/>
          <w:szCs w:val="24"/>
          <w:lang w:eastAsia="es-ES"/>
        </w:rPr>
        <w:t>Almacén e Inventarios</w:t>
      </w:r>
      <w:r w:rsidRPr="009E05F6">
        <w:rPr>
          <w:rFonts w:ascii="Arial" w:eastAsia="Times New Roman" w:hAnsi="Arial" w:cs="Arial"/>
          <w:sz w:val="24"/>
          <w:szCs w:val="24"/>
          <w:lang w:val="es-CO" w:eastAsia="es-ES"/>
        </w:rPr>
        <w:t xml:space="preserve"> </w:t>
      </w:r>
      <w:r>
        <w:rPr>
          <w:rFonts w:ascii="Arial" w:eastAsia="Times New Roman" w:hAnsi="Arial" w:cs="Arial"/>
          <w:sz w:val="24"/>
          <w:szCs w:val="24"/>
          <w:lang w:val="es-CO" w:eastAsia="es-ES"/>
        </w:rPr>
        <w:t>con 4</w:t>
      </w:r>
      <w:r w:rsidRPr="009E05F6">
        <w:rPr>
          <w:rFonts w:ascii="Arial" w:eastAsia="Times New Roman" w:hAnsi="Arial" w:cs="Arial"/>
          <w:sz w:val="24"/>
          <w:szCs w:val="24"/>
          <w:lang w:val="es-CO" w:eastAsia="es-ES"/>
        </w:rPr>
        <w:t xml:space="preserve"> representando el </w:t>
      </w:r>
      <w:r>
        <w:rPr>
          <w:rFonts w:ascii="Arial" w:eastAsia="Times New Roman" w:hAnsi="Arial" w:cs="Arial"/>
          <w:sz w:val="24"/>
          <w:szCs w:val="24"/>
          <w:lang w:val="es-CO" w:eastAsia="es-ES"/>
        </w:rPr>
        <w:t>4</w:t>
      </w:r>
      <w:r w:rsidRPr="009E05F6">
        <w:rPr>
          <w:rFonts w:ascii="Arial" w:eastAsia="Times New Roman" w:hAnsi="Arial" w:cs="Arial"/>
          <w:sz w:val="24"/>
          <w:szCs w:val="24"/>
          <w:lang w:val="es-CO" w:eastAsia="es-ES"/>
        </w:rPr>
        <w:t>0%; seguido por</w:t>
      </w:r>
      <w:r w:rsidRPr="009E05F6">
        <w:rPr>
          <w:b/>
          <w:sz w:val="24"/>
          <w:szCs w:val="24"/>
        </w:rPr>
        <w:t xml:space="preserve">  </w:t>
      </w:r>
      <w:r>
        <w:rPr>
          <w:rFonts w:ascii="Arial" w:eastAsia="Times New Roman" w:hAnsi="Arial" w:cs="Arial"/>
          <w:sz w:val="24"/>
          <w:szCs w:val="24"/>
          <w:lang w:val="es-CO" w:eastAsia="es-ES"/>
        </w:rPr>
        <w:t>Evaluación de Gestión de CCF</w:t>
      </w:r>
      <w:r w:rsidRPr="009E05F6">
        <w:rPr>
          <w:rFonts w:ascii="Arial" w:eastAsia="Times New Roman" w:hAnsi="Arial" w:cs="Arial"/>
          <w:sz w:val="24"/>
          <w:szCs w:val="24"/>
          <w:lang w:val="es-CO" w:eastAsia="es-ES"/>
        </w:rPr>
        <w:t xml:space="preserve"> </w:t>
      </w:r>
      <w:r>
        <w:rPr>
          <w:rFonts w:ascii="Arial" w:eastAsia="Times New Roman" w:hAnsi="Arial" w:cs="Arial"/>
          <w:sz w:val="24"/>
          <w:szCs w:val="24"/>
          <w:lang w:val="es-CO" w:eastAsia="es-ES"/>
        </w:rPr>
        <w:t>con 3</w:t>
      </w:r>
      <w:r w:rsidRPr="009E05F6">
        <w:rPr>
          <w:rFonts w:ascii="Arial" w:eastAsia="Times New Roman" w:hAnsi="Arial" w:cs="Arial"/>
          <w:sz w:val="24"/>
          <w:szCs w:val="24"/>
          <w:lang w:val="es-CO" w:eastAsia="es-ES"/>
        </w:rPr>
        <w:t xml:space="preserve"> que representa el </w:t>
      </w:r>
      <w:r>
        <w:rPr>
          <w:rFonts w:ascii="Arial" w:eastAsia="Times New Roman" w:hAnsi="Arial" w:cs="Arial"/>
          <w:sz w:val="24"/>
          <w:szCs w:val="24"/>
          <w:lang w:val="es-CO" w:eastAsia="es-ES"/>
        </w:rPr>
        <w:t>30</w:t>
      </w:r>
      <w:r w:rsidRPr="009E05F6">
        <w:rPr>
          <w:rFonts w:ascii="Arial" w:eastAsia="Times New Roman" w:hAnsi="Arial" w:cs="Arial"/>
          <w:sz w:val="24"/>
          <w:szCs w:val="24"/>
          <w:lang w:val="es-CO" w:eastAsia="es-ES"/>
        </w:rPr>
        <w:t xml:space="preserve">%; continua </w:t>
      </w:r>
      <w:r>
        <w:rPr>
          <w:rFonts w:ascii="Arial" w:eastAsia="Times New Roman" w:hAnsi="Arial" w:cs="Arial"/>
          <w:sz w:val="24"/>
          <w:szCs w:val="24"/>
          <w:lang w:val="es-CO" w:eastAsia="es-ES"/>
        </w:rPr>
        <w:t xml:space="preserve">Control legal de CCF </w:t>
      </w:r>
      <w:r w:rsidRPr="009E05F6">
        <w:rPr>
          <w:rFonts w:ascii="Arial" w:eastAsia="Times New Roman" w:hAnsi="Arial" w:cs="Arial"/>
          <w:sz w:val="24"/>
          <w:szCs w:val="24"/>
          <w:lang w:val="es-CO" w:eastAsia="es-ES"/>
        </w:rPr>
        <w:t xml:space="preserve">con </w:t>
      </w:r>
      <w:r>
        <w:rPr>
          <w:rFonts w:ascii="Arial" w:eastAsia="Times New Roman" w:hAnsi="Arial" w:cs="Arial"/>
          <w:sz w:val="24"/>
          <w:szCs w:val="24"/>
          <w:lang w:val="es-CO" w:eastAsia="es-ES"/>
        </w:rPr>
        <w:t>2</w:t>
      </w:r>
      <w:r w:rsidRPr="009E05F6">
        <w:rPr>
          <w:rFonts w:ascii="Arial" w:eastAsia="Times New Roman" w:hAnsi="Arial" w:cs="Arial"/>
          <w:sz w:val="24"/>
          <w:szCs w:val="24"/>
          <w:lang w:val="es-CO" w:eastAsia="es-ES"/>
        </w:rPr>
        <w:t xml:space="preserve"> representado el </w:t>
      </w:r>
      <w:r>
        <w:rPr>
          <w:rFonts w:ascii="Arial" w:eastAsia="Times New Roman" w:hAnsi="Arial" w:cs="Arial"/>
          <w:sz w:val="24"/>
          <w:szCs w:val="24"/>
          <w:lang w:val="es-CO" w:eastAsia="es-ES"/>
        </w:rPr>
        <w:t>20</w:t>
      </w:r>
      <w:r w:rsidRPr="009E05F6">
        <w:rPr>
          <w:rFonts w:ascii="Arial" w:eastAsia="Times New Roman" w:hAnsi="Arial" w:cs="Arial"/>
          <w:sz w:val="24"/>
          <w:szCs w:val="24"/>
          <w:lang w:val="es-CO" w:eastAsia="es-ES"/>
        </w:rPr>
        <w:t xml:space="preserve">%; </w:t>
      </w:r>
      <w:r>
        <w:rPr>
          <w:rFonts w:ascii="Arial" w:eastAsia="Times New Roman" w:hAnsi="Arial" w:cs="Arial"/>
          <w:sz w:val="24"/>
          <w:szCs w:val="24"/>
          <w:lang w:val="es-CO" w:eastAsia="es-ES"/>
        </w:rPr>
        <w:t>por último</w:t>
      </w:r>
      <w:r w:rsidRPr="009E05F6">
        <w:rPr>
          <w:rFonts w:ascii="Arial" w:eastAsia="Times New Roman" w:hAnsi="Arial" w:cs="Arial"/>
          <w:sz w:val="24"/>
          <w:szCs w:val="24"/>
          <w:lang w:val="es-CO" w:eastAsia="es-ES"/>
        </w:rPr>
        <w:t xml:space="preserve"> </w:t>
      </w:r>
      <w:r>
        <w:rPr>
          <w:rFonts w:ascii="Arial" w:eastAsia="Times New Roman" w:hAnsi="Arial" w:cs="Arial"/>
          <w:sz w:val="24"/>
          <w:szCs w:val="24"/>
          <w:lang w:val="es-CO" w:eastAsia="es-ES"/>
        </w:rPr>
        <w:t xml:space="preserve">Gestión Documental </w:t>
      </w:r>
      <w:r w:rsidRPr="009E05F6">
        <w:rPr>
          <w:rFonts w:ascii="Arial" w:eastAsia="Times New Roman" w:hAnsi="Arial" w:cs="Arial"/>
          <w:sz w:val="24"/>
          <w:szCs w:val="24"/>
          <w:lang w:val="es-CO" w:eastAsia="es-ES"/>
        </w:rPr>
        <w:t xml:space="preserve">con 1 representando el </w:t>
      </w:r>
      <w:r>
        <w:rPr>
          <w:rFonts w:ascii="Arial" w:eastAsia="Times New Roman" w:hAnsi="Arial" w:cs="Arial"/>
          <w:sz w:val="24"/>
          <w:szCs w:val="24"/>
          <w:lang w:val="es-CO" w:eastAsia="es-ES"/>
        </w:rPr>
        <w:t>10</w:t>
      </w:r>
      <w:r w:rsidRPr="009E05F6">
        <w:rPr>
          <w:rFonts w:ascii="Arial" w:eastAsia="Times New Roman" w:hAnsi="Arial" w:cs="Arial"/>
          <w:sz w:val="24"/>
          <w:szCs w:val="24"/>
          <w:lang w:val="es-CO" w:eastAsia="es-ES"/>
        </w:rPr>
        <w:t xml:space="preserve">%; a </w:t>
      </w:r>
      <w:r>
        <w:rPr>
          <w:rFonts w:ascii="Arial" w:eastAsia="Times New Roman" w:hAnsi="Arial" w:cs="Arial"/>
          <w:sz w:val="24"/>
          <w:szCs w:val="24"/>
          <w:lang w:val="es-CO" w:eastAsia="es-ES"/>
        </w:rPr>
        <w:t xml:space="preserve">Control Financiero Contable y </w:t>
      </w:r>
      <w:r w:rsidRPr="009E05F6">
        <w:rPr>
          <w:rFonts w:ascii="Arial" w:eastAsia="Times New Roman" w:hAnsi="Arial" w:cs="Arial"/>
          <w:sz w:val="24"/>
          <w:szCs w:val="24"/>
          <w:lang w:eastAsia="es-ES"/>
        </w:rPr>
        <w:t>Gestión del Talento Humano</w:t>
      </w:r>
      <w:r w:rsidRPr="009E05F6">
        <w:rPr>
          <w:rFonts w:ascii="Arial" w:eastAsia="Times New Roman" w:hAnsi="Arial" w:cs="Arial"/>
          <w:sz w:val="24"/>
          <w:szCs w:val="24"/>
          <w:lang w:val="es-CO" w:eastAsia="es-ES"/>
        </w:rPr>
        <w:t xml:space="preserve"> no se le generaron oportunidades de mejora</w:t>
      </w:r>
      <w:r w:rsidR="00060E78">
        <w:rPr>
          <w:rStyle w:val="Refdenotaalpie"/>
          <w:rFonts w:ascii="Arial" w:eastAsia="Times New Roman" w:hAnsi="Arial" w:cs="Arial"/>
          <w:sz w:val="24"/>
          <w:szCs w:val="24"/>
          <w:lang w:val="es-CO" w:eastAsia="es-ES"/>
        </w:rPr>
        <w:footnoteReference w:id="1"/>
      </w:r>
      <w:r w:rsidRPr="009E05F6">
        <w:rPr>
          <w:rFonts w:ascii="Arial" w:eastAsia="Times New Roman" w:hAnsi="Arial" w:cs="Arial"/>
          <w:sz w:val="24"/>
          <w:szCs w:val="24"/>
          <w:lang w:val="es-CO" w:eastAsia="es-ES"/>
        </w:rPr>
        <w:t xml:space="preserve">. </w:t>
      </w:r>
    </w:p>
    <w:p w:rsidR="0089001E" w:rsidRDefault="0089001E"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p>
    <w:p w:rsidR="00506F1F" w:rsidRDefault="00506F1F" w:rsidP="00296C1F">
      <w:pPr>
        <w:tabs>
          <w:tab w:val="left" w:pos="142"/>
        </w:tabs>
        <w:autoSpaceDE w:val="0"/>
        <w:autoSpaceDN w:val="0"/>
        <w:adjustRightInd w:val="0"/>
        <w:spacing w:after="0" w:line="240" w:lineRule="auto"/>
        <w:ind w:left="502"/>
        <w:contextualSpacing/>
        <w:jc w:val="both"/>
        <w:rPr>
          <w:rFonts w:ascii="Arial" w:eastAsia="Times New Roman" w:hAnsi="Arial" w:cs="Arial"/>
          <w:b/>
          <w:sz w:val="24"/>
          <w:szCs w:val="24"/>
          <w:lang w:val="es-CO" w:eastAsia="es-ES"/>
        </w:rPr>
      </w:pPr>
    </w:p>
    <w:p w:rsidR="00EC65DA" w:rsidRPr="00BC714A" w:rsidRDefault="00506F1F" w:rsidP="00EC65DA">
      <w:pPr>
        <w:pStyle w:val="Prrafodelista"/>
        <w:numPr>
          <w:ilvl w:val="1"/>
          <w:numId w:val="11"/>
        </w:numPr>
        <w:autoSpaceDE w:val="0"/>
        <w:autoSpaceDN w:val="0"/>
        <w:adjustRightInd w:val="0"/>
        <w:spacing w:after="0" w:line="240" w:lineRule="auto"/>
        <w:rPr>
          <w:rFonts w:ascii="Arial" w:eastAsia="Times New Roman" w:hAnsi="Arial" w:cs="Arial"/>
          <w:b/>
          <w:sz w:val="24"/>
          <w:szCs w:val="24"/>
          <w:lang w:val="es-CO" w:eastAsia="es-ES"/>
        </w:rPr>
      </w:pPr>
      <w:r w:rsidRPr="00BC714A">
        <w:rPr>
          <w:rFonts w:ascii="Arial" w:eastAsia="Times New Roman" w:hAnsi="Arial" w:cs="Arial"/>
          <w:b/>
          <w:sz w:val="24"/>
          <w:szCs w:val="24"/>
          <w:lang w:val="es-CO" w:eastAsia="es-ES"/>
        </w:rPr>
        <w:t>NO CONFORMIDADES</w:t>
      </w:r>
    </w:p>
    <w:p w:rsidR="00EC65DA" w:rsidRPr="00EC65DA" w:rsidRDefault="00EC65DA" w:rsidP="00EC65DA">
      <w:pPr>
        <w:pStyle w:val="Prrafodelista"/>
        <w:autoSpaceDE w:val="0"/>
        <w:autoSpaceDN w:val="0"/>
        <w:adjustRightInd w:val="0"/>
        <w:spacing w:after="0" w:line="240" w:lineRule="auto"/>
        <w:ind w:left="792"/>
        <w:rPr>
          <w:rFonts w:ascii="Arial" w:hAnsi="Arial" w:cs="Arial"/>
          <w:color w:val="000000"/>
          <w:sz w:val="23"/>
          <w:szCs w:val="23"/>
          <w:lang w:val="es-CO" w:eastAsia="es-CO"/>
        </w:rPr>
      </w:pPr>
    </w:p>
    <w:p w:rsidR="0040539D" w:rsidRDefault="0040539D"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p>
    <w:tbl>
      <w:tblPr>
        <w:tblStyle w:val="Tablaconcuadrcula4"/>
        <w:tblW w:w="9078" w:type="dxa"/>
        <w:tblInd w:w="675" w:type="dxa"/>
        <w:tblLook w:val="04A0" w:firstRow="1" w:lastRow="0" w:firstColumn="1" w:lastColumn="0" w:noHBand="0" w:noVBand="1"/>
      </w:tblPr>
      <w:tblGrid>
        <w:gridCol w:w="2734"/>
        <w:gridCol w:w="875"/>
        <w:gridCol w:w="875"/>
        <w:gridCol w:w="1094"/>
        <w:gridCol w:w="875"/>
        <w:gridCol w:w="875"/>
        <w:gridCol w:w="875"/>
        <w:gridCol w:w="875"/>
      </w:tblGrid>
      <w:tr w:rsidR="0040539D" w:rsidRPr="0040539D" w:rsidTr="0040539D">
        <w:trPr>
          <w:cantSplit/>
          <w:trHeight w:val="1420"/>
        </w:trPr>
        <w:tc>
          <w:tcPr>
            <w:tcW w:w="2734" w:type="dxa"/>
            <w:shd w:val="clear" w:color="auto" w:fill="F2F2F2" w:themeFill="background1" w:themeFillShade="F2"/>
            <w:vAlign w:val="center"/>
          </w:tcPr>
          <w:p w:rsidR="0040539D" w:rsidRPr="0040539D" w:rsidRDefault="0040539D" w:rsidP="0040539D">
            <w:pPr>
              <w:spacing w:after="0" w:line="240" w:lineRule="auto"/>
              <w:jc w:val="center"/>
              <w:rPr>
                <w:b/>
                <w:lang w:val="es-CO"/>
              </w:rPr>
            </w:pPr>
            <w:r w:rsidRPr="0040539D">
              <w:rPr>
                <w:b/>
                <w:lang w:val="es-CO"/>
              </w:rPr>
              <w:t>MECI 1000:2005</w:t>
            </w:r>
          </w:p>
        </w:tc>
        <w:tc>
          <w:tcPr>
            <w:tcW w:w="875" w:type="dxa"/>
            <w:shd w:val="clear" w:color="auto" w:fill="F2F2F2" w:themeFill="background1" w:themeFillShade="F2"/>
            <w:textDirection w:val="btLr"/>
            <w:vAlign w:val="cente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40539D">
              <w:rPr>
                <w:rFonts w:cs="Arial"/>
                <w:b/>
                <w:color w:val="333333"/>
                <w:sz w:val="17"/>
                <w:szCs w:val="17"/>
                <w:lang w:val="es-CO"/>
              </w:rPr>
              <w:t>Control Financiero Contable de las CCF</w:t>
            </w:r>
          </w:p>
        </w:tc>
        <w:tc>
          <w:tcPr>
            <w:tcW w:w="875" w:type="dxa"/>
            <w:shd w:val="clear" w:color="auto" w:fill="F2F2F2" w:themeFill="background1" w:themeFillShade="F2"/>
            <w:textDirection w:val="btLr"/>
            <w:vAlign w:val="cente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40539D">
              <w:rPr>
                <w:rFonts w:cs="Arial"/>
                <w:b/>
                <w:color w:val="333333"/>
                <w:sz w:val="17"/>
                <w:szCs w:val="17"/>
                <w:lang w:val="es-CO"/>
              </w:rPr>
              <w:t>Gestión del Talento Humano</w:t>
            </w:r>
          </w:p>
        </w:tc>
        <w:tc>
          <w:tcPr>
            <w:tcW w:w="1094" w:type="dxa"/>
            <w:shd w:val="clear" w:color="auto" w:fill="F2F2F2" w:themeFill="background1" w:themeFillShade="F2"/>
            <w:textDirection w:val="btLr"/>
            <w:vAlign w:val="cente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40539D">
              <w:rPr>
                <w:rFonts w:cs="Arial"/>
                <w:b/>
                <w:color w:val="333333"/>
                <w:sz w:val="17"/>
                <w:szCs w:val="17"/>
                <w:lang w:val="es-CO"/>
              </w:rPr>
              <w:t>Control Legal de Cajas de Compensación Familiar</w:t>
            </w:r>
          </w:p>
        </w:tc>
        <w:tc>
          <w:tcPr>
            <w:tcW w:w="875" w:type="dxa"/>
            <w:shd w:val="clear" w:color="auto" w:fill="F2F2F2" w:themeFill="background1" w:themeFillShade="F2"/>
            <w:textDirection w:val="btLr"/>
            <w:vAlign w:val="cente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40539D">
              <w:rPr>
                <w:rFonts w:cs="Arial"/>
                <w:b/>
                <w:color w:val="333333"/>
                <w:sz w:val="17"/>
                <w:szCs w:val="17"/>
                <w:lang w:val="es-CO"/>
              </w:rPr>
              <w:t>Almacén e Inventarios</w:t>
            </w:r>
          </w:p>
        </w:tc>
        <w:tc>
          <w:tcPr>
            <w:tcW w:w="875" w:type="dxa"/>
            <w:shd w:val="clear" w:color="auto" w:fill="F2F2F2" w:themeFill="background1" w:themeFillShade="F2"/>
            <w:textDirection w:val="btLr"/>
            <w:vAlign w:val="cente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40539D">
              <w:rPr>
                <w:rFonts w:cs="Arial"/>
                <w:b/>
                <w:color w:val="333333"/>
                <w:sz w:val="17"/>
                <w:szCs w:val="17"/>
                <w:lang w:val="es-CO"/>
              </w:rPr>
              <w:t>Gestión Documental</w:t>
            </w:r>
          </w:p>
        </w:tc>
        <w:tc>
          <w:tcPr>
            <w:tcW w:w="875" w:type="dxa"/>
            <w:shd w:val="clear" w:color="auto" w:fill="F2F2F2" w:themeFill="background1" w:themeFillShade="F2"/>
            <w:textDirection w:val="btLr"/>
            <w:vAlign w:val="cente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r w:rsidRPr="0040539D">
              <w:rPr>
                <w:rFonts w:cs="Arial"/>
                <w:b/>
                <w:color w:val="333333"/>
                <w:sz w:val="17"/>
                <w:szCs w:val="17"/>
                <w:lang w:val="es-CO"/>
              </w:rPr>
              <w:t>Evaluación de Gestión de C.C.F.</w:t>
            </w:r>
          </w:p>
        </w:tc>
        <w:tc>
          <w:tcPr>
            <w:tcW w:w="875" w:type="dxa"/>
            <w:shd w:val="clear" w:color="auto" w:fill="F2F2F2" w:themeFill="background1" w:themeFillShade="F2"/>
            <w:textDirection w:val="btLr"/>
            <w:vAlign w:val="center"/>
          </w:tcPr>
          <w:p w:rsidR="0040539D" w:rsidRPr="0040539D" w:rsidRDefault="0040539D" w:rsidP="0040539D">
            <w:pPr>
              <w:tabs>
                <w:tab w:val="left" w:pos="142"/>
              </w:tabs>
              <w:autoSpaceDE w:val="0"/>
              <w:autoSpaceDN w:val="0"/>
              <w:adjustRightInd w:val="0"/>
              <w:spacing w:after="0" w:line="240" w:lineRule="auto"/>
              <w:ind w:left="113" w:right="113"/>
              <w:jc w:val="center"/>
              <w:rPr>
                <w:b/>
                <w:sz w:val="20"/>
                <w:szCs w:val="20"/>
                <w:lang w:val="es-CO"/>
              </w:rPr>
            </w:pPr>
            <w:r w:rsidRPr="0040539D">
              <w:rPr>
                <w:rFonts w:cs="Arial"/>
                <w:b/>
                <w:color w:val="333333"/>
                <w:sz w:val="17"/>
                <w:szCs w:val="17"/>
                <w:lang w:val="es-CO"/>
              </w:rPr>
              <w:t>TOTAL</w:t>
            </w:r>
          </w:p>
        </w:tc>
      </w:tr>
      <w:tr w:rsidR="0040539D" w:rsidRPr="0040539D" w:rsidTr="0040539D">
        <w:trPr>
          <w:trHeight w:val="338"/>
        </w:trPr>
        <w:tc>
          <w:tcPr>
            <w:tcW w:w="2734" w:type="dxa"/>
            <w:vAlign w:val="center"/>
          </w:tcPr>
          <w:p w:rsidR="0040539D" w:rsidRPr="0040539D" w:rsidRDefault="0040539D" w:rsidP="0040539D">
            <w:pPr>
              <w:spacing w:after="0" w:line="240" w:lineRule="auto"/>
              <w:rPr>
                <w:lang w:val="es-CO"/>
              </w:rPr>
            </w:pPr>
            <w:r w:rsidRPr="0040539D">
              <w:rPr>
                <w:lang w:val="es-CO"/>
              </w:rPr>
              <w:t>2.1.2 Procedimientos</w:t>
            </w: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1094"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r w:rsidRPr="0040539D">
              <w:rPr>
                <w:lang w:val="es-CO"/>
              </w:rPr>
              <w:t>1</w:t>
            </w:r>
          </w:p>
        </w:tc>
        <w:tc>
          <w:tcPr>
            <w:tcW w:w="875" w:type="dxa"/>
            <w:vAlign w:val="center"/>
          </w:tcPr>
          <w:p w:rsidR="0040539D" w:rsidRPr="0040539D" w:rsidRDefault="0040539D" w:rsidP="0040539D">
            <w:pPr>
              <w:spacing w:after="0" w:line="240" w:lineRule="auto"/>
              <w:jc w:val="center"/>
              <w:rPr>
                <w:lang w:val="es-CO"/>
              </w:rPr>
            </w:pPr>
          </w:p>
        </w:tc>
        <w:tc>
          <w:tcPr>
            <w:tcW w:w="875" w:type="dxa"/>
            <w:shd w:val="clear" w:color="auto" w:fill="F2F2F2" w:themeFill="background1" w:themeFillShade="F2"/>
            <w:vAlign w:val="center"/>
          </w:tcPr>
          <w:p w:rsidR="0040539D" w:rsidRPr="0040539D" w:rsidRDefault="0040539D" w:rsidP="0040539D">
            <w:pPr>
              <w:spacing w:after="0" w:line="240" w:lineRule="auto"/>
              <w:jc w:val="center"/>
              <w:rPr>
                <w:lang w:val="es-CO"/>
              </w:rPr>
            </w:pPr>
            <w:r w:rsidRPr="0040539D">
              <w:rPr>
                <w:lang w:val="es-CO"/>
              </w:rPr>
              <w:t>1</w:t>
            </w:r>
          </w:p>
        </w:tc>
      </w:tr>
      <w:tr w:rsidR="0040539D" w:rsidRPr="0040539D" w:rsidTr="0040539D">
        <w:trPr>
          <w:trHeight w:val="272"/>
        </w:trPr>
        <w:tc>
          <w:tcPr>
            <w:tcW w:w="2734" w:type="dxa"/>
          </w:tcPr>
          <w:p w:rsidR="0040539D" w:rsidRPr="0040539D" w:rsidRDefault="0040539D" w:rsidP="0040539D">
            <w:pPr>
              <w:spacing w:after="0" w:line="240" w:lineRule="auto"/>
              <w:rPr>
                <w:lang w:val="es-CO"/>
              </w:rPr>
            </w:pPr>
            <w:r w:rsidRPr="0040539D">
              <w:rPr>
                <w:lang w:val="es-CO"/>
              </w:rPr>
              <w:t>2.1.3 Controles</w:t>
            </w: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r w:rsidRPr="0040539D">
              <w:rPr>
                <w:lang w:val="es-CO"/>
              </w:rPr>
              <w:t>1</w:t>
            </w:r>
          </w:p>
        </w:tc>
        <w:tc>
          <w:tcPr>
            <w:tcW w:w="1094"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875" w:type="dxa"/>
            <w:shd w:val="clear" w:color="auto" w:fill="F2F2F2" w:themeFill="background1" w:themeFillShade="F2"/>
            <w:vAlign w:val="center"/>
          </w:tcPr>
          <w:p w:rsidR="0040539D" w:rsidRPr="0040539D" w:rsidRDefault="0040539D" w:rsidP="0040539D">
            <w:pPr>
              <w:spacing w:after="0" w:line="240" w:lineRule="auto"/>
              <w:jc w:val="center"/>
              <w:rPr>
                <w:lang w:val="es-CO"/>
              </w:rPr>
            </w:pPr>
            <w:r w:rsidRPr="0040539D">
              <w:rPr>
                <w:lang w:val="es-CO"/>
              </w:rPr>
              <w:t>1</w:t>
            </w:r>
          </w:p>
        </w:tc>
      </w:tr>
      <w:tr w:rsidR="0040539D" w:rsidRPr="0040539D" w:rsidTr="0040539D">
        <w:trPr>
          <w:trHeight w:val="368"/>
        </w:trPr>
        <w:tc>
          <w:tcPr>
            <w:tcW w:w="2734" w:type="dxa"/>
          </w:tcPr>
          <w:p w:rsidR="0040539D" w:rsidRPr="0040539D" w:rsidRDefault="0040539D" w:rsidP="0040539D">
            <w:pPr>
              <w:spacing w:after="0" w:line="240" w:lineRule="auto"/>
              <w:rPr>
                <w:lang w:val="es-CO"/>
              </w:rPr>
            </w:pPr>
            <w:r w:rsidRPr="0040539D">
              <w:rPr>
                <w:lang w:val="es-CO"/>
              </w:rPr>
              <w:t>2.1.5 Manual de procedimientos</w:t>
            </w: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r w:rsidRPr="0040539D">
              <w:rPr>
                <w:lang w:val="es-CO"/>
              </w:rPr>
              <w:t>1</w:t>
            </w:r>
          </w:p>
        </w:tc>
        <w:tc>
          <w:tcPr>
            <w:tcW w:w="1094"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875" w:type="dxa"/>
            <w:shd w:val="clear" w:color="auto" w:fill="F2F2F2" w:themeFill="background1" w:themeFillShade="F2"/>
            <w:vAlign w:val="center"/>
          </w:tcPr>
          <w:p w:rsidR="0040539D" w:rsidRPr="0040539D" w:rsidRDefault="0040539D" w:rsidP="0040539D">
            <w:pPr>
              <w:spacing w:after="0" w:line="240" w:lineRule="auto"/>
              <w:jc w:val="center"/>
              <w:rPr>
                <w:lang w:val="es-CO"/>
              </w:rPr>
            </w:pPr>
            <w:r w:rsidRPr="0040539D">
              <w:rPr>
                <w:lang w:val="es-CO"/>
              </w:rPr>
              <w:t>1</w:t>
            </w:r>
          </w:p>
        </w:tc>
      </w:tr>
      <w:tr w:rsidR="0040539D" w:rsidRPr="0040539D" w:rsidTr="0040539D">
        <w:trPr>
          <w:trHeight w:val="503"/>
        </w:trPr>
        <w:tc>
          <w:tcPr>
            <w:tcW w:w="2734" w:type="dxa"/>
          </w:tcPr>
          <w:p w:rsidR="0040539D" w:rsidRPr="0040539D" w:rsidRDefault="0040539D" w:rsidP="0040539D">
            <w:pPr>
              <w:spacing w:after="0" w:line="240" w:lineRule="auto"/>
              <w:rPr>
                <w:lang w:val="es-CO"/>
              </w:rPr>
            </w:pPr>
            <w:r w:rsidRPr="0040539D">
              <w:rPr>
                <w:lang w:val="es-CO"/>
              </w:rPr>
              <w:t>3.1.2 Autoevaluación a la gestión</w:t>
            </w: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r w:rsidRPr="0040539D">
              <w:rPr>
                <w:lang w:val="es-CO"/>
              </w:rPr>
              <w:t>1</w:t>
            </w:r>
          </w:p>
        </w:tc>
        <w:tc>
          <w:tcPr>
            <w:tcW w:w="1094"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875" w:type="dxa"/>
            <w:shd w:val="clear" w:color="auto" w:fill="F2F2F2" w:themeFill="background1" w:themeFillShade="F2"/>
            <w:vAlign w:val="center"/>
          </w:tcPr>
          <w:p w:rsidR="0040539D" w:rsidRPr="0040539D" w:rsidRDefault="0040539D" w:rsidP="0040539D">
            <w:pPr>
              <w:spacing w:after="0" w:line="240" w:lineRule="auto"/>
              <w:jc w:val="center"/>
              <w:rPr>
                <w:lang w:val="es-CO"/>
              </w:rPr>
            </w:pPr>
            <w:r w:rsidRPr="0040539D">
              <w:rPr>
                <w:lang w:val="es-CO"/>
              </w:rPr>
              <w:t>1</w:t>
            </w:r>
          </w:p>
        </w:tc>
      </w:tr>
      <w:tr w:rsidR="0040539D" w:rsidRPr="0040539D" w:rsidTr="0040539D">
        <w:trPr>
          <w:trHeight w:val="503"/>
        </w:trPr>
        <w:tc>
          <w:tcPr>
            <w:tcW w:w="2734" w:type="dxa"/>
          </w:tcPr>
          <w:p w:rsidR="0040539D" w:rsidRPr="0040539D" w:rsidRDefault="0040539D" w:rsidP="0040539D">
            <w:pPr>
              <w:spacing w:after="0" w:line="240" w:lineRule="auto"/>
              <w:rPr>
                <w:lang w:val="es-CO"/>
              </w:rPr>
            </w:pPr>
            <w:r w:rsidRPr="0040539D">
              <w:rPr>
                <w:lang w:val="es-CO"/>
              </w:rPr>
              <w:t>3.3.2 Planes de Mejoramiento por Procesos</w:t>
            </w: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1094"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p>
        </w:tc>
        <w:tc>
          <w:tcPr>
            <w:tcW w:w="875" w:type="dxa"/>
            <w:vAlign w:val="center"/>
          </w:tcPr>
          <w:p w:rsidR="0040539D" w:rsidRPr="0040539D" w:rsidRDefault="0040539D" w:rsidP="0040539D">
            <w:pPr>
              <w:spacing w:after="0" w:line="240" w:lineRule="auto"/>
              <w:jc w:val="center"/>
              <w:rPr>
                <w:lang w:val="es-CO"/>
              </w:rPr>
            </w:pPr>
            <w:r w:rsidRPr="0040539D">
              <w:rPr>
                <w:lang w:val="es-CO"/>
              </w:rPr>
              <w:t>1</w:t>
            </w:r>
          </w:p>
        </w:tc>
        <w:tc>
          <w:tcPr>
            <w:tcW w:w="875" w:type="dxa"/>
            <w:vAlign w:val="center"/>
          </w:tcPr>
          <w:p w:rsidR="0040539D" w:rsidRPr="0040539D" w:rsidRDefault="0040539D" w:rsidP="0040539D">
            <w:pPr>
              <w:spacing w:after="0" w:line="240" w:lineRule="auto"/>
              <w:jc w:val="center"/>
              <w:rPr>
                <w:lang w:val="es-CO"/>
              </w:rPr>
            </w:pPr>
          </w:p>
        </w:tc>
        <w:tc>
          <w:tcPr>
            <w:tcW w:w="875" w:type="dxa"/>
            <w:shd w:val="clear" w:color="auto" w:fill="F2F2F2" w:themeFill="background1" w:themeFillShade="F2"/>
            <w:vAlign w:val="center"/>
          </w:tcPr>
          <w:p w:rsidR="0040539D" w:rsidRPr="0040539D" w:rsidRDefault="0040539D" w:rsidP="0040539D">
            <w:pPr>
              <w:spacing w:after="0" w:line="240" w:lineRule="auto"/>
              <w:jc w:val="center"/>
              <w:rPr>
                <w:lang w:val="es-CO"/>
              </w:rPr>
            </w:pPr>
            <w:r w:rsidRPr="0040539D">
              <w:rPr>
                <w:lang w:val="es-CO"/>
              </w:rPr>
              <w:t>1</w:t>
            </w:r>
          </w:p>
        </w:tc>
      </w:tr>
      <w:tr w:rsidR="0040539D" w:rsidRPr="0040539D" w:rsidTr="0040539D">
        <w:trPr>
          <w:trHeight w:val="274"/>
        </w:trPr>
        <w:tc>
          <w:tcPr>
            <w:tcW w:w="2734" w:type="dxa"/>
            <w:shd w:val="clear" w:color="auto" w:fill="F2F2F2" w:themeFill="background1" w:themeFillShade="F2"/>
          </w:tcPr>
          <w:p w:rsidR="0040539D" w:rsidRPr="0040539D" w:rsidRDefault="0040539D" w:rsidP="0040539D">
            <w:pPr>
              <w:spacing w:after="0" w:line="240" w:lineRule="auto"/>
              <w:jc w:val="center"/>
              <w:rPr>
                <w:b/>
                <w:lang w:val="es-CO"/>
              </w:rPr>
            </w:pPr>
            <w:r w:rsidRPr="0040539D">
              <w:rPr>
                <w:b/>
                <w:lang w:val="es-CO"/>
              </w:rPr>
              <w:t>NTC GP 1000:2004</w:t>
            </w:r>
          </w:p>
        </w:tc>
        <w:tc>
          <w:tcPr>
            <w:tcW w:w="875" w:type="dxa"/>
            <w:shd w:val="clear" w:color="auto" w:fill="F2F2F2" w:themeFill="background1" w:themeFillShade="F2"/>
            <w:textDirection w:val="btL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875" w:type="dxa"/>
            <w:shd w:val="clear" w:color="auto" w:fill="F2F2F2" w:themeFill="background1" w:themeFillShade="F2"/>
            <w:textDirection w:val="btL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1094" w:type="dxa"/>
            <w:shd w:val="clear" w:color="auto" w:fill="F2F2F2" w:themeFill="background1" w:themeFillShade="F2"/>
            <w:textDirection w:val="btL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875" w:type="dxa"/>
            <w:shd w:val="clear" w:color="auto" w:fill="F2F2F2" w:themeFill="background1" w:themeFillShade="F2"/>
            <w:textDirection w:val="btL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875" w:type="dxa"/>
            <w:shd w:val="clear" w:color="auto" w:fill="F2F2F2" w:themeFill="background1" w:themeFillShade="F2"/>
            <w:textDirection w:val="btL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875" w:type="dxa"/>
            <w:shd w:val="clear" w:color="auto" w:fill="F2F2F2" w:themeFill="background1" w:themeFillShade="F2"/>
            <w:textDirection w:val="btLr"/>
          </w:tcPr>
          <w:p w:rsidR="0040539D" w:rsidRPr="0040539D" w:rsidRDefault="0040539D" w:rsidP="0040539D">
            <w:pPr>
              <w:tabs>
                <w:tab w:val="left" w:pos="142"/>
              </w:tabs>
              <w:autoSpaceDE w:val="0"/>
              <w:autoSpaceDN w:val="0"/>
              <w:adjustRightInd w:val="0"/>
              <w:spacing w:after="0" w:line="240" w:lineRule="auto"/>
              <w:ind w:left="113" w:right="113"/>
              <w:jc w:val="center"/>
              <w:rPr>
                <w:rFonts w:cs="Arial"/>
                <w:b/>
                <w:color w:val="333333"/>
                <w:sz w:val="17"/>
                <w:szCs w:val="17"/>
                <w:lang w:val="es-CO"/>
              </w:rPr>
            </w:pPr>
          </w:p>
        </w:tc>
        <w:tc>
          <w:tcPr>
            <w:tcW w:w="875" w:type="dxa"/>
            <w:shd w:val="clear" w:color="auto" w:fill="F2F2F2" w:themeFill="background1" w:themeFillShade="F2"/>
            <w:textDirection w:val="btLr"/>
          </w:tcPr>
          <w:p w:rsidR="0040539D" w:rsidRPr="0040539D" w:rsidRDefault="0040539D" w:rsidP="0040539D">
            <w:pPr>
              <w:tabs>
                <w:tab w:val="left" w:pos="142"/>
              </w:tabs>
              <w:autoSpaceDE w:val="0"/>
              <w:autoSpaceDN w:val="0"/>
              <w:adjustRightInd w:val="0"/>
              <w:spacing w:after="0" w:line="240" w:lineRule="auto"/>
              <w:ind w:left="113" w:right="113"/>
              <w:jc w:val="center"/>
              <w:rPr>
                <w:b/>
                <w:sz w:val="16"/>
                <w:szCs w:val="16"/>
                <w:lang w:val="es-CO"/>
              </w:rPr>
            </w:pPr>
          </w:p>
        </w:tc>
      </w:tr>
      <w:tr w:rsidR="0040539D" w:rsidRPr="0040539D" w:rsidTr="0040539D">
        <w:trPr>
          <w:trHeight w:val="341"/>
        </w:trPr>
        <w:tc>
          <w:tcPr>
            <w:tcW w:w="2734" w:type="dxa"/>
          </w:tcPr>
          <w:p w:rsidR="0040539D" w:rsidRPr="0040539D" w:rsidRDefault="0040539D" w:rsidP="0040539D">
            <w:pPr>
              <w:spacing w:after="0" w:line="240" w:lineRule="auto"/>
              <w:rPr>
                <w:lang w:val="es-CO"/>
              </w:rPr>
            </w:pPr>
            <w:r w:rsidRPr="0040539D">
              <w:rPr>
                <w:lang w:val="es-CO"/>
              </w:rPr>
              <w:t>4.2.1 Generalidades</w:t>
            </w:r>
          </w:p>
        </w:tc>
        <w:tc>
          <w:tcPr>
            <w:tcW w:w="875" w:type="dxa"/>
          </w:tcPr>
          <w:p w:rsidR="0040539D" w:rsidRPr="0040539D" w:rsidRDefault="0040539D" w:rsidP="0040539D">
            <w:pPr>
              <w:spacing w:after="0" w:line="240" w:lineRule="auto"/>
              <w:jc w:val="center"/>
              <w:rPr>
                <w:lang w:val="es-CO"/>
              </w:rPr>
            </w:pPr>
            <w:r w:rsidRPr="0040539D">
              <w:rPr>
                <w:lang w:val="es-CO"/>
              </w:rPr>
              <w:t>1</w:t>
            </w:r>
          </w:p>
        </w:tc>
        <w:tc>
          <w:tcPr>
            <w:tcW w:w="875" w:type="dxa"/>
          </w:tcPr>
          <w:p w:rsidR="0040539D" w:rsidRPr="0040539D" w:rsidRDefault="0040539D" w:rsidP="0040539D">
            <w:pPr>
              <w:spacing w:after="0" w:line="240" w:lineRule="auto"/>
              <w:jc w:val="center"/>
              <w:rPr>
                <w:lang w:val="es-CO"/>
              </w:rPr>
            </w:pPr>
          </w:p>
        </w:tc>
        <w:tc>
          <w:tcPr>
            <w:tcW w:w="1094" w:type="dxa"/>
          </w:tcPr>
          <w:p w:rsidR="0040539D" w:rsidRPr="0040539D" w:rsidRDefault="0040539D" w:rsidP="0040539D">
            <w:pPr>
              <w:spacing w:after="0" w:line="240" w:lineRule="auto"/>
              <w:jc w:val="center"/>
              <w:rPr>
                <w:lang w:val="es-CO"/>
              </w:rPr>
            </w:pPr>
          </w:p>
        </w:tc>
        <w:tc>
          <w:tcPr>
            <w:tcW w:w="875" w:type="dxa"/>
          </w:tcPr>
          <w:p w:rsidR="0040539D" w:rsidRPr="0040539D" w:rsidRDefault="0040539D" w:rsidP="0040539D">
            <w:pPr>
              <w:spacing w:after="0" w:line="240" w:lineRule="auto"/>
              <w:jc w:val="center"/>
              <w:rPr>
                <w:lang w:val="es-CO"/>
              </w:rPr>
            </w:pPr>
          </w:p>
        </w:tc>
        <w:tc>
          <w:tcPr>
            <w:tcW w:w="875" w:type="dxa"/>
          </w:tcPr>
          <w:p w:rsidR="0040539D" w:rsidRPr="0040539D" w:rsidRDefault="0040539D" w:rsidP="0040539D">
            <w:pPr>
              <w:spacing w:after="0" w:line="240" w:lineRule="auto"/>
              <w:jc w:val="center"/>
              <w:rPr>
                <w:lang w:val="es-CO"/>
              </w:rPr>
            </w:pPr>
          </w:p>
        </w:tc>
        <w:tc>
          <w:tcPr>
            <w:tcW w:w="875" w:type="dxa"/>
          </w:tcPr>
          <w:p w:rsidR="0040539D" w:rsidRPr="0040539D" w:rsidRDefault="0040539D" w:rsidP="0040539D">
            <w:pPr>
              <w:spacing w:after="0" w:line="240" w:lineRule="auto"/>
              <w:jc w:val="center"/>
              <w:rPr>
                <w:lang w:val="es-CO"/>
              </w:rPr>
            </w:pPr>
          </w:p>
        </w:tc>
        <w:tc>
          <w:tcPr>
            <w:tcW w:w="875" w:type="dxa"/>
            <w:shd w:val="clear" w:color="auto" w:fill="F2F2F2" w:themeFill="background1" w:themeFillShade="F2"/>
          </w:tcPr>
          <w:p w:rsidR="0040539D" w:rsidRPr="0040539D" w:rsidRDefault="0040539D" w:rsidP="0040539D">
            <w:pPr>
              <w:spacing w:after="0" w:line="240" w:lineRule="auto"/>
              <w:jc w:val="center"/>
              <w:rPr>
                <w:lang w:val="es-CO"/>
              </w:rPr>
            </w:pPr>
            <w:r w:rsidRPr="0040539D">
              <w:rPr>
                <w:lang w:val="es-CO"/>
              </w:rPr>
              <w:t>1</w:t>
            </w:r>
          </w:p>
        </w:tc>
      </w:tr>
      <w:tr w:rsidR="0040539D" w:rsidRPr="0040539D" w:rsidTr="0040539D">
        <w:trPr>
          <w:trHeight w:val="171"/>
        </w:trPr>
        <w:tc>
          <w:tcPr>
            <w:tcW w:w="2734" w:type="dxa"/>
          </w:tcPr>
          <w:p w:rsidR="0040539D" w:rsidRPr="0040539D" w:rsidRDefault="0040539D" w:rsidP="0040539D">
            <w:pPr>
              <w:spacing w:after="0" w:line="240" w:lineRule="auto"/>
              <w:rPr>
                <w:lang w:val="es-CO"/>
              </w:rPr>
            </w:pPr>
            <w:r w:rsidRPr="0040539D">
              <w:rPr>
                <w:lang w:val="es-CO"/>
              </w:rPr>
              <w:t>4.2.3 Control de documentos</w:t>
            </w:r>
          </w:p>
        </w:tc>
        <w:tc>
          <w:tcPr>
            <w:tcW w:w="875" w:type="dxa"/>
          </w:tcPr>
          <w:p w:rsidR="0040539D" w:rsidRPr="0040539D" w:rsidRDefault="0040539D" w:rsidP="0040539D">
            <w:pPr>
              <w:spacing w:after="0" w:line="240" w:lineRule="auto"/>
              <w:jc w:val="center"/>
              <w:rPr>
                <w:lang w:val="es-CO"/>
              </w:rPr>
            </w:pPr>
            <w:r w:rsidRPr="0040539D">
              <w:rPr>
                <w:lang w:val="es-CO"/>
              </w:rPr>
              <w:t>2</w:t>
            </w:r>
          </w:p>
        </w:tc>
        <w:tc>
          <w:tcPr>
            <w:tcW w:w="875" w:type="dxa"/>
          </w:tcPr>
          <w:p w:rsidR="0040539D" w:rsidRPr="0040539D" w:rsidRDefault="0040539D" w:rsidP="0040539D">
            <w:pPr>
              <w:spacing w:after="0" w:line="240" w:lineRule="auto"/>
              <w:jc w:val="center"/>
              <w:rPr>
                <w:lang w:val="es-CO"/>
              </w:rPr>
            </w:pPr>
          </w:p>
        </w:tc>
        <w:tc>
          <w:tcPr>
            <w:tcW w:w="1094" w:type="dxa"/>
          </w:tcPr>
          <w:p w:rsidR="0040539D" w:rsidRPr="0040539D" w:rsidRDefault="0040539D" w:rsidP="0040539D">
            <w:pPr>
              <w:spacing w:after="0" w:line="240" w:lineRule="auto"/>
              <w:jc w:val="center"/>
              <w:rPr>
                <w:lang w:val="es-CO"/>
              </w:rPr>
            </w:pPr>
          </w:p>
        </w:tc>
        <w:tc>
          <w:tcPr>
            <w:tcW w:w="875" w:type="dxa"/>
          </w:tcPr>
          <w:p w:rsidR="0040539D" w:rsidRPr="0040539D" w:rsidRDefault="0040539D" w:rsidP="0040539D">
            <w:pPr>
              <w:spacing w:after="0" w:line="240" w:lineRule="auto"/>
              <w:jc w:val="center"/>
              <w:rPr>
                <w:lang w:val="es-CO"/>
              </w:rPr>
            </w:pPr>
            <w:r w:rsidRPr="0040539D">
              <w:rPr>
                <w:lang w:val="es-CO"/>
              </w:rPr>
              <w:t>1</w:t>
            </w:r>
          </w:p>
        </w:tc>
        <w:tc>
          <w:tcPr>
            <w:tcW w:w="875" w:type="dxa"/>
          </w:tcPr>
          <w:p w:rsidR="0040539D" w:rsidRPr="0040539D" w:rsidRDefault="0040539D" w:rsidP="0040539D">
            <w:pPr>
              <w:spacing w:after="0" w:line="240" w:lineRule="auto"/>
              <w:jc w:val="center"/>
              <w:rPr>
                <w:lang w:val="es-CO"/>
              </w:rPr>
            </w:pPr>
          </w:p>
        </w:tc>
        <w:tc>
          <w:tcPr>
            <w:tcW w:w="875" w:type="dxa"/>
          </w:tcPr>
          <w:p w:rsidR="0040539D" w:rsidRPr="0040539D" w:rsidRDefault="0040539D" w:rsidP="0040539D">
            <w:pPr>
              <w:spacing w:after="0" w:line="240" w:lineRule="auto"/>
              <w:jc w:val="center"/>
              <w:rPr>
                <w:lang w:val="es-CO"/>
              </w:rPr>
            </w:pPr>
          </w:p>
        </w:tc>
        <w:tc>
          <w:tcPr>
            <w:tcW w:w="875" w:type="dxa"/>
            <w:shd w:val="clear" w:color="auto" w:fill="F2F2F2" w:themeFill="background1" w:themeFillShade="F2"/>
          </w:tcPr>
          <w:p w:rsidR="0040539D" w:rsidRPr="0040539D" w:rsidRDefault="0040539D" w:rsidP="0040539D">
            <w:pPr>
              <w:spacing w:after="0" w:line="240" w:lineRule="auto"/>
              <w:jc w:val="center"/>
              <w:rPr>
                <w:lang w:val="es-CO"/>
              </w:rPr>
            </w:pPr>
            <w:r w:rsidRPr="0040539D">
              <w:rPr>
                <w:lang w:val="es-CO"/>
              </w:rPr>
              <w:t>3</w:t>
            </w:r>
          </w:p>
        </w:tc>
      </w:tr>
      <w:tr w:rsidR="0040539D" w:rsidRPr="0040539D" w:rsidTr="0040539D">
        <w:trPr>
          <w:trHeight w:val="411"/>
        </w:trPr>
        <w:tc>
          <w:tcPr>
            <w:tcW w:w="2734" w:type="dxa"/>
          </w:tcPr>
          <w:p w:rsidR="0040539D" w:rsidRPr="0040539D" w:rsidRDefault="0040539D" w:rsidP="0040539D">
            <w:pPr>
              <w:spacing w:after="0" w:line="240" w:lineRule="auto"/>
              <w:rPr>
                <w:lang w:val="es-CO"/>
              </w:rPr>
            </w:pPr>
            <w:r w:rsidRPr="0040539D">
              <w:rPr>
                <w:lang w:val="es-CO"/>
              </w:rPr>
              <w:lastRenderedPageBreak/>
              <w:t>7.5.3 Identificación y trazabilidad</w:t>
            </w:r>
          </w:p>
        </w:tc>
        <w:tc>
          <w:tcPr>
            <w:tcW w:w="875" w:type="dxa"/>
          </w:tcPr>
          <w:p w:rsidR="0040539D" w:rsidRPr="0040539D" w:rsidRDefault="0040539D" w:rsidP="0040539D">
            <w:pPr>
              <w:spacing w:after="0" w:line="240" w:lineRule="auto"/>
              <w:jc w:val="center"/>
              <w:rPr>
                <w:lang w:val="es-CO"/>
              </w:rPr>
            </w:pPr>
          </w:p>
        </w:tc>
        <w:tc>
          <w:tcPr>
            <w:tcW w:w="875" w:type="dxa"/>
          </w:tcPr>
          <w:p w:rsidR="0040539D" w:rsidRPr="0040539D" w:rsidRDefault="0040539D" w:rsidP="0040539D">
            <w:pPr>
              <w:spacing w:after="0" w:line="240" w:lineRule="auto"/>
              <w:jc w:val="center"/>
              <w:rPr>
                <w:lang w:val="es-CO"/>
              </w:rPr>
            </w:pPr>
          </w:p>
        </w:tc>
        <w:tc>
          <w:tcPr>
            <w:tcW w:w="1094" w:type="dxa"/>
          </w:tcPr>
          <w:p w:rsidR="0040539D" w:rsidRPr="0040539D" w:rsidRDefault="0040539D" w:rsidP="0040539D">
            <w:pPr>
              <w:spacing w:after="0" w:line="240" w:lineRule="auto"/>
              <w:jc w:val="center"/>
              <w:rPr>
                <w:lang w:val="es-CO"/>
              </w:rPr>
            </w:pPr>
            <w:r w:rsidRPr="0040539D">
              <w:rPr>
                <w:lang w:val="es-CO"/>
              </w:rPr>
              <w:t>1</w:t>
            </w:r>
          </w:p>
        </w:tc>
        <w:tc>
          <w:tcPr>
            <w:tcW w:w="875" w:type="dxa"/>
          </w:tcPr>
          <w:p w:rsidR="0040539D" w:rsidRPr="0040539D" w:rsidRDefault="0040539D" w:rsidP="0040539D">
            <w:pPr>
              <w:spacing w:after="0" w:line="240" w:lineRule="auto"/>
              <w:jc w:val="center"/>
              <w:rPr>
                <w:lang w:val="es-CO"/>
              </w:rPr>
            </w:pPr>
          </w:p>
        </w:tc>
        <w:tc>
          <w:tcPr>
            <w:tcW w:w="875" w:type="dxa"/>
          </w:tcPr>
          <w:p w:rsidR="0040539D" w:rsidRPr="0040539D" w:rsidRDefault="0040539D" w:rsidP="0040539D">
            <w:pPr>
              <w:spacing w:after="0" w:line="240" w:lineRule="auto"/>
              <w:jc w:val="center"/>
              <w:rPr>
                <w:lang w:val="es-CO"/>
              </w:rPr>
            </w:pPr>
          </w:p>
        </w:tc>
        <w:tc>
          <w:tcPr>
            <w:tcW w:w="875" w:type="dxa"/>
          </w:tcPr>
          <w:p w:rsidR="0040539D" w:rsidRPr="0040539D" w:rsidRDefault="0040539D" w:rsidP="0040539D">
            <w:pPr>
              <w:spacing w:after="0" w:line="240" w:lineRule="auto"/>
              <w:jc w:val="center"/>
              <w:rPr>
                <w:lang w:val="es-CO"/>
              </w:rPr>
            </w:pPr>
          </w:p>
        </w:tc>
        <w:tc>
          <w:tcPr>
            <w:tcW w:w="875" w:type="dxa"/>
            <w:shd w:val="clear" w:color="auto" w:fill="F2F2F2" w:themeFill="background1" w:themeFillShade="F2"/>
          </w:tcPr>
          <w:p w:rsidR="0040539D" w:rsidRPr="0040539D" w:rsidRDefault="0040539D" w:rsidP="0040539D">
            <w:pPr>
              <w:spacing w:after="0" w:line="240" w:lineRule="auto"/>
              <w:jc w:val="center"/>
              <w:rPr>
                <w:lang w:val="es-CO"/>
              </w:rPr>
            </w:pPr>
            <w:r w:rsidRPr="0040539D">
              <w:rPr>
                <w:lang w:val="es-CO"/>
              </w:rPr>
              <w:t>1</w:t>
            </w:r>
          </w:p>
        </w:tc>
      </w:tr>
      <w:tr w:rsidR="0040539D" w:rsidRPr="0040539D" w:rsidTr="0040539D">
        <w:trPr>
          <w:trHeight w:val="180"/>
        </w:trPr>
        <w:tc>
          <w:tcPr>
            <w:tcW w:w="2734" w:type="dxa"/>
          </w:tcPr>
          <w:p w:rsidR="0040539D" w:rsidRPr="0040539D" w:rsidRDefault="0040539D" w:rsidP="0040539D">
            <w:pPr>
              <w:spacing w:after="0" w:line="240" w:lineRule="auto"/>
              <w:rPr>
                <w:b/>
                <w:lang w:val="es-CO"/>
              </w:rPr>
            </w:pPr>
            <w:r w:rsidRPr="0040539D">
              <w:rPr>
                <w:b/>
                <w:lang w:val="es-CO"/>
              </w:rPr>
              <w:t>Total general</w:t>
            </w:r>
          </w:p>
        </w:tc>
        <w:tc>
          <w:tcPr>
            <w:tcW w:w="875" w:type="dxa"/>
          </w:tcPr>
          <w:p w:rsidR="0040539D" w:rsidRPr="0040539D" w:rsidRDefault="0040539D" w:rsidP="0040539D">
            <w:pPr>
              <w:spacing w:after="0" w:line="240" w:lineRule="auto"/>
              <w:jc w:val="center"/>
              <w:rPr>
                <w:lang w:val="es-CO"/>
              </w:rPr>
            </w:pPr>
            <w:r w:rsidRPr="0040539D">
              <w:rPr>
                <w:lang w:val="es-CO"/>
              </w:rPr>
              <w:t>3</w:t>
            </w:r>
          </w:p>
        </w:tc>
        <w:tc>
          <w:tcPr>
            <w:tcW w:w="875" w:type="dxa"/>
          </w:tcPr>
          <w:p w:rsidR="0040539D" w:rsidRPr="0040539D" w:rsidRDefault="0040539D" w:rsidP="0040539D">
            <w:pPr>
              <w:spacing w:after="0" w:line="240" w:lineRule="auto"/>
              <w:jc w:val="center"/>
              <w:rPr>
                <w:lang w:val="es-CO"/>
              </w:rPr>
            </w:pPr>
            <w:r w:rsidRPr="0040539D">
              <w:rPr>
                <w:lang w:val="es-CO"/>
              </w:rPr>
              <w:t>3</w:t>
            </w:r>
          </w:p>
        </w:tc>
        <w:tc>
          <w:tcPr>
            <w:tcW w:w="1094" w:type="dxa"/>
          </w:tcPr>
          <w:p w:rsidR="0040539D" w:rsidRPr="0040539D" w:rsidRDefault="0040539D" w:rsidP="0040539D">
            <w:pPr>
              <w:spacing w:after="0" w:line="240" w:lineRule="auto"/>
              <w:jc w:val="center"/>
              <w:rPr>
                <w:lang w:val="es-CO"/>
              </w:rPr>
            </w:pPr>
            <w:r w:rsidRPr="0040539D">
              <w:rPr>
                <w:lang w:val="es-CO"/>
              </w:rPr>
              <w:t>1</w:t>
            </w:r>
          </w:p>
        </w:tc>
        <w:tc>
          <w:tcPr>
            <w:tcW w:w="875" w:type="dxa"/>
          </w:tcPr>
          <w:p w:rsidR="0040539D" w:rsidRPr="0040539D" w:rsidRDefault="0040539D" w:rsidP="0040539D">
            <w:pPr>
              <w:spacing w:after="0" w:line="240" w:lineRule="auto"/>
              <w:jc w:val="center"/>
              <w:rPr>
                <w:lang w:val="es-CO"/>
              </w:rPr>
            </w:pPr>
            <w:r w:rsidRPr="0040539D">
              <w:rPr>
                <w:lang w:val="es-CO"/>
              </w:rPr>
              <w:t>1</w:t>
            </w:r>
          </w:p>
        </w:tc>
        <w:tc>
          <w:tcPr>
            <w:tcW w:w="875" w:type="dxa"/>
          </w:tcPr>
          <w:p w:rsidR="0040539D" w:rsidRPr="0040539D" w:rsidRDefault="0040539D" w:rsidP="0040539D">
            <w:pPr>
              <w:spacing w:after="0" w:line="240" w:lineRule="auto"/>
              <w:jc w:val="center"/>
              <w:rPr>
                <w:lang w:val="es-CO"/>
              </w:rPr>
            </w:pPr>
            <w:r w:rsidRPr="0040539D">
              <w:rPr>
                <w:lang w:val="es-CO"/>
              </w:rPr>
              <w:t>2</w:t>
            </w:r>
          </w:p>
        </w:tc>
        <w:tc>
          <w:tcPr>
            <w:tcW w:w="875" w:type="dxa"/>
          </w:tcPr>
          <w:p w:rsidR="0040539D" w:rsidRPr="0040539D" w:rsidRDefault="0040539D" w:rsidP="0040539D">
            <w:pPr>
              <w:spacing w:after="0" w:line="240" w:lineRule="auto"/>
              <w:jc w:val="center"/>
              <w:rPr>
                <w:lang w:val="es-CO"/>
              </w:rPr>
            </w:pPr>
          </w:p>
        </w:tc>
        <w:tc>
          <w:tcPr>
            <w:tcW w:w="875" w:type="dxa"/>
            <w:shd w:val="clear" w:color="auto" w:fill="F2F2F2" w:themeFill="background1" w:themeFillShade="F2"/>
          </w:tcPr>
          <w:p w:rsidR="0040539D" w:rsidRPr="0040539D" w:rsidRDefault="0040539D" w:rsidP="0040539D">
            <w:pPr>
              <w:spacing w:after="0" w:line="240" w:lineRule="auto"/>
              <w:jc w:val="center"/>
              <w:rPr>
                <w:b/>
                <w:lang w:val="es-CO"/>
              </w:rPr>
            </w:pPr>
            <w:r w:rsidRPr="0040539D">
              <w:rPr>
                <w:b/>
                <w:lang w:val="es-CO"/>
              </w:rPr>
              <w:t>10</w:t>
            </w:r>
          </w:p>
        </w:tc>
      </w:tr>
    </w:tbl>
    <w:p w:rsidR="0089001E" w:rsidRDefault="0089001E"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p>
    <w:p w:rsidR="0040539D" w:rsidRPr="009E05F6" w:rsidRDefault="0040539D" w:rsidP="0040539D">
      <w:pPr>
        <w:tabs>
          <w:tab w:val="left" w:pos="142"/>
        </w:tabs>
        <w:autoSpaceDE w:val="0"/>
        <w:autoSpaceDN w:val="0"/>
        <w:adjustRightInd w:val="0"/>
        <w:spacing w:after="0" w:line="240" w:lineRule="auto"/>
        <w:ind w:left="505"/>
        <w:contextualSpacing/>
        <w:jc w:val="both"/>
        <w:rPr>
          <w:rFonts w:ascii="Arial" w:eastAsia="Times New Roman" w:hAnsi="Arial" w:cs="Arial"/>
          <w:sz w:val="24"/>
          <w:szCs w:val="24"/>
          <w:lang w:val="es-CO" w:eastAsia="es-ES"/>
        </w:rPr>
      </w:pPr>
      <w:r>
        <w:rPr>
          <w:rFonts w:ascii="Arial" w:eastAsia="Times New Roman" w:hAnsi="Arial" w:cs="Arial"/>
          <w:sz w:val="24"/>
          <w:szCs w:val="24"/>
          <w:lang w:val="es-CO" w:eastAsia="es-ES"/>
        </w:rPr>
        <w:t>Lo</w:t>
      </w:r>
      <w:r w:rsidRPr="009E05F6">
        <w:rPr>
          <w:rFonts w:ascii="Arial" w:eastAsia="Times New Roman" w:hAnsi="Arial" w:cs="Arial"/>
          <w:sz w:val="24"/>
          <w:szCs w:val="24"/>
          <w:lang w:val="es-CO" w:eastAsia="es-ES"/>
        </w:rPr>
        <w:t xml:space="preserve">s procesos con mayor número de </w:t>
      </w:r>
      <w:r>
        <w:rPr>
          <w:rFonts w:ascii="Arial" w:eastAsia="Times New Roman" w:hAnsi="Arial" w:cs="Arial"/>
          <w:sz w:val="24"/>
          <w:szCs w:val="24"/>
          <w:lang w:val="es-CO" w:eastAsia="es-ES"/>
        </w:rPr>
        <w:t>no conformidades</w:t>
      </w:r>
      <w:r w:rsidRPr="009E05F6">
        <w:rPr>
          <w:rFonts w:ascii="Arial" w:eastAsia="Times New Roman" w:hAnsi="Arial" w:cs="Arial"/>
          <w:sz w:val="24"/>
          <w:szCs w:val="24"/>
          <w:lang w:val="es-CO" w:eastAsia="es-ES"/>
        </w:rPr>
        <w:t xml:space="preserve"> en su orden son: </w:t>
      </w:r>
      <w:r>
        <w:rPr>
          <w:rFonts w:ascii="Arial" w:eastAsia="Times New Roman" w:hAnsi="Arial" w:cs="Arial"/>
          <w:sz w:val="24"/>
          <w:szCs w:val="24"/>
          <w:lang w:val="es-CO" w:eastAsia="es-ES"/>
        </w:rPr>
        <w:t xml:space="preserve">Control Financiero Contable y </w:t>
      </w:r>
      <w:r w:rsidRPr="009E05F6">
        <w:rPr>
          <w:rFonts w:ascii="Arial" w:eastAsia="Times New Roman" w:hAnsi="Arial" w:cs="Arial"/>
          <w:sz w:val="24"/>
          <w:szCs w:val="24"/>
          <w:lang w:eastAsia="es-ES"/>
        </w:rPr>
        <w:t>Gestión del Talento Humano</w:t>
      </w:r>
      <w:r w:rsidRPr="00E60ADF">
        <w:rPr>
          <w:rFonts w:ascii="Arial" w:eastAsia="Times New Roman" w:hAnsi="Arial" w:cs="Arial"/>
          <w:sz w:val="24"/>
          <w:szCs w:val="24"/>
          <w:lang w:val="es-CO" w:eastAsia="es-ES"/>
        </w:rPr>
        <w:t xml:space="preserve"> </w:t>
      </w:r>
      <w:r w:rsidRPr="009E05F6">
        <w:rPr>
          <w:rFonts w:ascii="Arial" w:eastAsia="Times New Roman" w:hAnsi="Arial" w:cs="Arial"/>
          <w:sz w:val="24"/>
          <w:szCs w:val="24"/>
          <w:lang w:val="es-CO" w:eastAsia="es-ES"/>
        </w:rPr>
        <w:t xml:space="preserve">con </w:t>
      </w:r>
      <w:r>
        <w:rPr>
          <w:rFonts w:ascii="Arial" w:eastAsia="Times New Roman" w:hAnsi="Arial" w:cs="Arial"/>
          <w:sz w:val="24"/>
          <w:szCs w:val="24"/>
          <w:lang w:val="es-CO" w:eastAsia="es-ES"/>
        </w:rPr>
        <w:t>3 c/u representando el 30</w:t>
      </w:r>
      <w:r w:rsidRPr="009E05F6">
        <w:rPr>
          <w:rFonts w:ascii="Arial" w:eastAsia="Times New Roman" w:hAnsi="Arial" w:cs="Arial"/>
          <w:sz w:val="24"/>
          <w:szCs w:val="24"/>
          <w:lang w:val="es-CO" w:eastAsia="es-ES"/>
        </w:rPr>
        <w:t>%</w:t>
      </w:r>
      <w:r>
        <w:rPr>
          <w:rFonts w:ascii="Arial" w:eastAsia="Times New Roman" w:hAnsi="Arial" w:cs="Arial"/>
          <w:sz w:val="24"/>
          <w:szCs w:val="24"/>
          <w:lang w:val="es-CO" w:eastAsia="es-ES"/>
        </w:rPr>
        <w:t xml:space="preserve"> c/u</w:t>
      </w:r>
      <w:r w:rsidRPr="009E05F6">
        <w:rPr>
          <w:rFonts w:ascii="Arial" w:eastAsia="Times New Roman" w:hAnsi="Arial" w:cs="Arial"/>
          <w:sz w:val="24"/>
          <w:szCs w:val="24"/>
          <w:lang w:val="es-CO" w:eastAsia="es-ES"/>
        </w:rPr>
        <w:t>;</w:t>
      </w:r>
      <w:r>
        <w:rPr>
          <w:rFonts w:ascii="Arial" w:eastAsia="Times New Roman" w:hAnsi="Arial" w:cs="Arial"/>
          <w:sz w:val="24"/>
          <w:szCs w:val="24"/>
          <w:lang w:val="es-CO" w:eastAsia="es-ES"/>
        </w:rPr>
        <w:t xml:space="preserve"> seguido por Gestión Documental </w:t>
      </w:r>
      <w:r w:rsidRPr="009E05F6">
        <w:rPr>
          <w:rFonts w:ascii="Arial" w:eastAsia="Times New Roman" w:hAnsi="Arial" w:cs="Arial"/>
          <w:sz w:val="24"/>
          <w:szCs w:val="24"/>
          <w:lang w:val="es-CO" w:eastAsia="es-ES"/>
        </w:rPr>
        <w:t xml:space="preserve">con </w:t>
      </w:r>
      <w:r>
        <w:rPr>
          <w:rFonts w:ascii="Arial" w:eastAsia="Times New Roman" w:hAnsi="Arial" w:cs="Arial"/>
          <w:sz w:val="24"/>
          <w:szCs w:val="24"/>
          <w:lang w:val="es-CO" w:eastAsia="es-ES"/>
        </w:rPr>
        <w:t>2</w:t>
      </w:r>
      <w:r w:rsidRPr="009E05F6">
        <w:rPr>
          <w:rFonts w:ascii="Arial" w:eastAsia="Times New Roman" w:hAnsi="Arial" w:cs="Arial"/>
          <w:sz w:val="24"/>
          <w:szCs w:val="24"/>
          <w:lang w:val="es-CO" w:eastAsia="es-ES"/>
        </w:rPr>
        <w:t xml:space="preserve"> que representa el </w:t>
      </w:r>
      <w:r>
        <w:rPr>
          <w:rFonts w:ascii="Arial" w:eastAsia="Times New Roman" w:hAnsi="Arial" w:cs="Arial"/>
          <w:sz w:val="24"/>
          <w:szCs w:val="24"/>
          <w:lang w:val="es-CO" w:eastAsia="es-ES"/>
        </w:rPr>
        <w:t>20</w:t>
      </w:r>
      <w:r w:rsidRPr="009E05F6">
        <w:rPr>
          <w:rFonts w:ascii="Arial" w:eastAsia="Times New Roman" w:hAnsi="Arial" w:cs="Arial"/>
          <w:sz w:val="24"/>
          <w:szCs w:val="24"/>
          <w:lang w:val="es-CO" w:eastAsia="es-ES"/>
        </w:rPr>
        <w:t>%</w:t>
      </w:r>
      <w:r>
        <w:rPr>
          <w:rFonts w:ascii="Arial" w:eastAsia="Times New Roman" w:hAnsi="Arial" w:cs="Arial"/>
          <w:sz w:val="24"/>
          <w:szCs w:val="24"/>
          <w:lang w:val="es-CO" w:eastAsia="es-ES"/>
        </w:rPr>
        <w:t xml:space="preserve">; </w:t>
      </w:r>
      <w:r w:rsidRPr="009E05F6">
        <w:rPr>
          <w:rFonts w:ascii="Arial" w:eastAsia="Times New Roman" w:hAnsi="Arial" w:cs="Arial"/>
          <w:sz w:val="24"/>
          <w:szCs w:val="24"/>
          <w:lang w:val="es-CO" w:eastAsia="es-ES"/>
        </w:rPr>
        <w:t>y por último</w:t>
      </w:r>
      <w:r>
        <w:rPr>
          <w:rFonts w:ascii="Arial" w:eastAsia="Times New Roman" w:hAnsi="Arial" w:cs="Arial"/>
          <w:sz w:val="24"/>
          <w:szCs w:val="24"/>
          <w:lang w:val="es-CO" w:eastAsia="es-ES"/>
        </w:rPr>
        <w:t xml:space="preserve"> Control legal de CCF y</w:t>
      </w:r>
      <w:r w:rsidRPr="009E05F6">
        <w:rPr>
          <w:rFonts w:ascii="Arial" w:eastAsia="Times New Roman" w:hAnsi="Arial" w:cs="Arial"/>
          <w:sz w:val="24"/>
          <w:szCs w:val="24"/>
          <w:lang w:val="es-CO" w:eastAsia="es-ES"/>
        </w:rPr>
        <w:t xml:space="preserve"> </w:t>
      </w:r>
      <w:r w:rsidRPr="009E05F6">
        <w:rPr>
          <w:rFonts w:ascii="Arial" w:eastAsia="Times New Roman" w:hAnsi="Arial" w:cs="Arial"/>
          <w:sz w:val="24"/>
          <w:szCs w:val="24"/>
          <w:lang w:eastAsia="es-ES"/>
        </w:rPr>
        <w:t>Almacén e Inventarios</w:t>
      </w:r>
      <w:r w:rsidRPr="009E05F6">
        <w:rPr>
          <w:rFonts w:ascii="Arial" w:eastAsia="Times New Roman" w:hAnsi="Arial" w:cs="Arial"/>
          <w:sz w:val="24"/>
          <w:szCs w:val="24"/>
          <w:lang w:val="es-CO" w:eastAsia="es-ES"/>
        </w:rPr>
        <w:t xml:space="preserve"> </w:t>
      </w:r>
      <w:r>
        <w:rPr>
          <w:rFonts w:ascii="Arial" w:eastAsia="Times New Roman" w:hAnsi="Arial" w:cs="Arial"/>
          <w:sz w:val="24"/>
          <w:szCs w:val="24"/>
          <w:lang w:val="es-CO" w:eastAsia="es-ES"/>
        </w:rPr>
        <w:t>con 1 c/u</w:t>
      </w:r>
      <w:r w:rsidRPr="009E05F6">
        <w:rPr>
          <w:rFonts w:ascii="Arial" w:eastAsia="Times New Roman" w:hAnsi="Arial" w:cs="Arial"/>
          <w:sz w:val="24"/>
          <w:szCs w:val="24"/>
          <w:lang w:val="es-CO" w:eastAsia="es-ES"/>
        </w:rPr>
        <w:t xml:space="preserve"> que representa</w:t>
      </w:r>
      <w:r>
        <w:rPr>
          <w:rFonts w:ascii="Arial" w:eastAsia="Times New Roman" w:hAnsi="Arial" w:cs="Arial"/>
          <w:sz w:val="24"/>
          <w:szCs w:val="24"/>
          <w:lang w:val="es-CO" w:eastAsia="es-ES"/>
        </w:rPr>
        <w:t>n</w:t>
      </w:r>
      <w:r w:rsidRPr="009E05F6">
        <w:rPr>
          <w:rFonts w:ascii="Arial" w:eastAsia="Times New Roman" w:hAnsi="Arial" w:cs="Arial"/>
          <w:sz w:val="24"/>
          <w:szCs w:val="24"/>
          <w:lang w:val="es-CO" w:eastAsia="es-ES"/>
        </w:rPr>
        <w:t xml:space="preserve"> el </w:t>
      </w:r>
      <w:r>
        <w:rPr>
          <w:rFonts w:ascii="Arial" w:eastAsia="Times New Roman" w:hAnsi="Arial" w:cs="Arial"/>
          <w:sz w:val="24"/>
          <w:szCs w:val="24"/>
          <w:lang w:val="es-CO" w:eastAsia="es-ES"/>
        </w:rPr>
        <w:t>10</w:t>
      </w:r>
      <w:r w:rsidRPr="009E05F6">
        <w:rPr>
          <w:rFonts w:ascii="Arial" w:eastAsia="Times New Roman" w:hAnsi="Arial" w:cs="Arial"/>
          <w:sz w:val="24"/>
          <w:szCs w:val="24"/>
          <w:lang w:val="es-CO" w:eastAsia="es-ES"/>
        </w:rPr>
        <w:t>%</w:t>
      </w:r>
      <w:r>
        <w:rPr>
          <w:rFonts w:ascii="Arial" w:eastAsia="Times New Roman" w:hAnsi="Arial" w:cs="Arial"/>
          <w:sz w:val="24"/>
          <w:szCs w:val="24"/>
          <w:lang w:val="es-CO" w:eastAsia="es-ES"/>
        </w:rPr>
        <w:t xml:space="preserve"> c/u</w:t>
      </w:r>
      <w:r w:rsidRPr="009E05F6">
        <w:rPr>
          <w:rFonts w:ascii="Arial" w:eastAsia="Times New Roman" w:hAnsi="Arial" w:cs="Arial"/>
          <w:sz w:val="24"/>
          <w:szCs w:val="24"/>
          <w:lang w:val="es-CO" w:eastAsia="es-ES"/>
        </w:rPr>
        <w:t xml:space="preserve">; a </w:t>
      </w:r>
      <w:r>
        <w:rPr>
          <w:rFonts w:ascii="Arial" w:eastAsia="Times New Roman" w:hAnsi="Arial" w:cs="Arial"/>
          <w:sz w:val="24"/>
          <w:szCs w:val="24"/>
          <w:lang w:val="es-CO" w:eastAsia="es-ES"/>
        </w:rPr>
        <w:t>Evaluación de Gestión de CCF</w:t>
      </w:r>
      <w:r w:rsidRPr="009E05F6">
        <w:rPr>
          <w:rFonts w:ascii="Arial" w:eastAsia="Times New Roman" w:hAnsi="Arial" w:cs="Arial"/>
          <w:sz w:val="24"/>
          <w:szCs w:val="24"/>
          <w:lang w:val="es-CO" w:eastAsia="es-ES"/>
        </w:rPr>
        <w:t xml:space="preserve"> no se le generaron </w:t>
      </w:r>
      <w:r>
        <w:rPr>
          <w:rFonts w:ascii="Arial" w:eastAsia="Times New Roman" w:hAnsi="Arial" w:cs="Arial"/>
          <w:sz w:val="24"/>
          <w:szCs w:val="24"/>
          <w:lang w:val="es-CO" w:eastAsia="es-ES"/>
        </w:rPr>
        <w:t>no conformidades</w:t>
      </w:r>
      <w:r w:rsidRPr="009E05F6">
        <w:rPr>
          <w:rFonts w:ascii="Arial" w:eastAsia="Times New Roman" w:hAnsi="Arial" w:cs="Arial"/>
          <w:sz w:val="24"/>
          <w:szCs w:val="24"/>
          <w:lang w:val="es-CO" w:eastAsia="es-ES"/>
        </w:rPr>
        <w:t>.</w:t>
      </w:r>
      <w:r w:rsidR="001B0D0B">
        <w:rPr>
          <w:rStyle w:val="Refdenotaalpie"/>
          <w:rFonts w:ascii="Arial" w:eastAsia="Times New Roman" w:hAnsi="Arial" w:cs="Arial"/>
          <w:sz w:val="24"/>
          <w:szCs w:val="24"/>
          <w:lang w:val="es-CO" w:eastAsia="es-ES"/>
        </w:rPr>
        <w:footnoteReference w:id="2"/>
      </w:r>
      <w:r w:rsidRPr="009E05F6">
        <w:rPr>
          <w:rFonts w:ascii="Arial" w:eastAsia="Times New Roman" w:hAnsi="Arial" w:cs="Arial"/>
          <w:sz w:val="24"/>
          <w:szCs w:val="24"/>
          <w:lang w:val="es-CO" w:eastAsia="es-ES"/>
        </w:rPr>
        <w:t xml:space="preserve"> </w:t>
      </w:r>
    </w:p>
    <w:p w:rsidR="0089001E" w:rsidRDefault="0089001E"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p>
    <w:p w:rsidR="00D32163" w:rsidRDefault="00D32163" w:rsidP="00296C1F">
      <w:pPr>
        <w:tabs>
          <w:tab w:val="left" w:pos="142"/>
        </w:tabs>
        <w:autoSpaceDE w:val="0"/>
        <w:autoSpaceDN w:val="0"/>
        <w:adjustRightInd w:val="0"/>
        <w:spacing w:after="0" w:line="240" w:lineRule="auto"/>
        <w:ind w:left="505"/>
        <w:contextualSpacing/>
        <w:jc w:val="both"/>
        <w:rPr>
          <w:rFonts w:ascii="Arial" w:eastAsia="Times New Roman" w:hAnsi="Arial" w:cs="Arial"/>
          <w:sz w:val="24"/>
          <w:szCs w:val="24"/>
          <w:lang w:val="es-CO" w:eastAsia="es-ES"/>
        </w:rPr>
      </w:pPr>
    </w:p>
    <w:p w:rsidR="00296C1F" w:rsidRPr="008309DE" w:rsidRDefault="008309DE"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val="es-CO" w:eastAsia="es-ES"/>
        </w:rPr>
      </w:pPr>
      <w:r w:rsidRPr="008309DE">
        <w:rPr>
          <w:rFonts w:ascii="Arial" w:eastAsia="Times New Roman" w:hAnsi="Arial" w:cs="Arial"/>
          <w:sz w:val="24"/>
          <w:szCs w:val="24"/>
          <w:lang w:val="es-CO" w:eastAsia="es-ES"/>
        </w:rPr>
        <w:t>En total se determinaron diez (10)  no conformidades y diez (10) oportunidades de mejora y/o observaciones.</w:t>
      </w: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hAnsi="Arial" w:cs="Arial"/>
          <w:b/>
          <w:bCs/>
          <w:sz w:val="24"/>
          <w:szCs w:val="24"/>
        </w:rPr>
      </w:pP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hAnsi="Arial" w:cs="Arial"/>
          <w:b/>
          <w:bCs/>
          <w:sz w:val="24"/>
          <w:szCs w:val="24"/>
        </w:rPr>
      </w:pPr>
    </w:p>
    <w:p w:rsidR="00BF4DDD" w:rsidRDefault="00BF4DDD" w:rsidP="00296C1F">
      <w:pPr>
        <w:tabs>
          <w:tab w:val="left" w:pos="142"/>
        </w:tabs>
        <w:autoSpaceDE w:val="0"/>
        <w:autoSpaceDN w:val="0"/>
        <w:adjustRightInd w:val="0"/>
        <w:spacing w:after="0" w:line="240" w:lineRule="auto"/>
        <w:ind w:left="502"/>
        <w:contextualSpacing/>
        <w:jc w:val="both"/>
        <w:rPr>
          <w:rFonts w:ascii="Arial" w:hAnsi="Arial" w:cs="Arial"/>
          <w:b/>
          <w:bCs/>
          <w:sz w:val="24"/>
          <w:szCs w:val="24"/>
        </w:rPr>
      </w:pPr>
    </w:p>
    <w:p w:rsidR="00296C1F" w:rsidRPr="009E05F6" w:rsidRDefault="00BC714A" w:rsidP="00296C1F">
      <w:pPr>
        <w:tabs>
          <w:tab w:val="left" w:pos="142"/>
        </w:tabs>
        <w:autoSpaceDE w:val="0"/>
        <w:autoSpaceDN w:val="0"/>
        <w:adjustRightInd w:val="0"/>
        <w:spacing w:after="0" w:line="240" w:lineRule="auto"/>
        <w:ind w:left="502"/>
        <w:contextualSpacing/>
        <w:jc w:val="both"/>
        <w:rPr>
          <w:rFonts w:ascii="Arial" w:hAnsi="Arial" w:cs="Arial"/>
          <w:b/>
          <w:bCs/>
          <w:sz w:val="24"/>
          <w:szCs w:val="24"/>
        </w:rPr>
      </w:pPr>
      <w:r>
        <w:rPr>
          <w:rFonts w:ascii="Arial" w:hAnsi="Arial" w:cs="Arial"/>
          <w:b/>
          <w:bCs/>
          <w:sz w:val="24"/>
          <w:szCs w:val="24"/>
        </w:rPr>
        <w:t>4.3</w:t>
      </w:r>
      <w:r w:rsidR="00F96C21">
        <w:rPr>
          <w:rFonts w:ascii="Arial" w:hAnsi="Arial" w:cs="Arial"/>
          <w:b/>
          <w:bCs/>
          <w:sz w:val="24"/>
          <w:szCs w:val="24"/>
        </w:rPr>
        <w:t xml:space="preserve">. CONSOLIDADO DE  NO CONFORMIDADES </w:t>
      </w:r>
      <w:r w:rsidR="00296C1F" w:rsidRPr="009E05F6">
        <w:rPr>
          <w:rFonts w:ascii="Arial" w:hAnsi="Arial" w:cs="Arial"/>
          <w:b/>
          <w:bCs/>
          <w:sz w:val="24"/>
          <w:szCs w:val="24"/>
        </w:rPr>
        <w:t xml:space="preserve">Y OPORTUNIDADES DE MEJORA </w:t>
      </w:r>
    </w:p>
    <w:p w:rsidR="00296C1F" w:rsidRPr="009E05F6" w:rsidRDefault="00296C1F" w:rsidP="00296C1F">
      <w:pPr>
        <w:tabs>
          <w:tab w:val="left" w:pos="142"/>
        </w:tabs>
        <w:autoSpaceDE w:val="0"/>
        <w:autoSpaceDN w:val="0"/>
        <w:adjustRightInd w:val="0"/>
        <w:spacing w:after="0" w:line="240" w:lineRule="auto"/>
        <w:ind w:left="502"/>
        <w:contextualSpacing/>
        <w:jc w:val="both"/>
        <w:rPr>
          <w:rFonts w:ascii="Arial" w:eastAsia="Times New Roman" w:hAnsi="Arial" w:cs="Arial"/>
          <w:sz w:val="24"/>
          <w:szCs w:val="24"/>
          <w:lang w:eastAsia="es-ES"/>
        </w:rPr>
      </w:pPr>
    </w:p>
    <w:p w:rsidR="00296C1F" w:rsidRPr="009E05F6" w:rsidRDefault="00296C1F" w:rsidP="00296C1F">
      <w:pPr>
        <w:ind w:left="426"/>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Del total de</w:t>
      </w:r>
      <w:r w:rsidR="00F96C21">
        <w:rPr>
          <w:rFonts w:ascii="Arial" w:eastAsia="Times New Roman" w:hAnsi="Arial" w:cs="Arial"/>
          <w:sz w:val="24"/>
          <w:szCs w:val="24"/>
          <w:lang w:val="es-CO" w:eastAsia="es-ES"/>
        </w:rPr>
        <w:t xml:space="preserve"> las no conformidades </w:t>
      </w:r>
      <w:r w:rsidRPr="009E05F6">
        <w:rPr>
          <w:rFonts w:ascii="Arial" w:eastAsia="Times New Roman" w:hAnsi="Arial" w:cs="Arial"/>
          <w:sz w:val="24"/>
          <w:szCs w:val="24"/>
          <w:lang w:val="es-CO" w:eastAsia="es-ES"/>
        </w:rPr>
        <w:t>y Oportunidades de mejora presentados por procesos, los temas encontrados dentro del proceso a</w:t>
      </w:r>
      <w:r w:rsidR="008E391B">
        <w:rPr>
          <w:rFonts w:ascii="Arial" w:eastAsia="Times New Roman" w:hAnsi="Arial" w:cs="Arial"/>
          <w:sz w:val="24"/>
          <w:szCs w:val="24"/>
          <w:lang w:val="es-CO" w:eastAsia="es-ES"/>
        </w:rPr>
        <w:t>uditor realizado en el primer</w:t>
      </w:r>
      <w:r w:rsidR="00FB5FF7" w:rsidRPr="009E05F6">
        <w:rPr>
          <w:rFonts w:ascii="Arial" w:eastAsia="Times New Roman" w:hAnsi="Arial" w:cs="Arial"/>
          <w:sz w:val="24"/>
          <w:szCs w:val="24"/>
          <w:lang w:val="es-CO" w:eastAsia="es-ES"/>
        </w:rPr>
        <w:t xml:space="preserve"> I</w:t>
      </w:r>
      <w:r w:rsidRPr="009E05F6">
        <w:rPr>
          <w:rFonts w:ascii="Arial" w:eastAsia="Times New Roman" w:hAnsi="Arial" w:cs="Arial"/>
          <w:sz w:val="24"/>
          <w:szCs w:val="24"/>
          <w:lang w:val="es-CO" w:eastAsia="es-ES"/>
        </w:rPr>
        <w:t xml:space="preserve"> trimestre de la </w:t>
      </w:r>
      <w:r w:rsidR="00FB5FF7" w:rsidRPr="009E05F6">
        <w:rPr>
          <w:rFonts w:ascii="Arial" w:eastAsia="Times New Roman" w:hAnsi="Arial" w:cs="Arial"/>
          <w:sz w:val="24"/>
          <w:szCs w:val="24"/>
          <w:lang w:val="es-CO" w:eastAsia="es-ES"/>
        </w:rPr>
        <w:t>vigencia 2015</w:t>
      </w:r>
      <w:r w:rsidRPr="009E05F6">
        <w:rPr>
          <w:rFonts w:ascii="Arial" w:eastAsia="Times New Roman" w:hAnsi="Arial" w:cs="Arial"/>
          <w:sz w:val="24"/>
          <w:szCs w:val="24"/>
          <w:lang w:val="es-CO" w:eastAsia="es-ES"/>
        </w:rPr>
        <w:t xml:space="preserve"> son: </w:t>
      </w:r>
    </w:p>
    <w:tbl>
      <w:tblPr>
        <w:tblStyle w:val="Tablaconcuadrcula1"/>
        <w:tblpPr w:leftFromText="141" w:rightFromText="141" w:vertAnchor="text" w:horzAnchor="margin" w:tblpXSpec="right" w:tblpY="499"/>
        <w:tblW w:w="9464" w:type="dxa"/>
        <w:tblLook w:val="04A0" w:firstRow="1" w:lastRow="0" w:firstColumn="1" w:lastColumn="0" w:noHBand="0" w:noVBand="1"/>
      </w:tblPr>
      <w:tblGrid>
        <w:gridCol w:w="1950"/>
        <w:gridCol w:w="1700"/>
        <w:gridCol w:w="3958"/>
        <w:gridCol w:w="1856"/>
      </w:tblGrid>
      <w:tr w:rsidR="00296C1F" w:rsidRPr="0038653A" w:rsidTr="00BC714A">
        <w:trPr>
          <w:trHeight w:val="1273"/>
        </w:trPr>
        <w:tc>
          <w:tcPr>
            <w:tcW w:w="1950" w:type="dxa"/>
            <w:shd w:val="clear" w:color="auto" w:fill="E7E6E6" w:themeFill="background2"/>
            <w:vAlign w:val="center"/>
          </w:tcPr>
          <w:p w:rsidR="00296C1F" w:rsidRPr="000C05AE" w:rsidRDefault="00296C1F" w:rsidP="00BC714A">
            <w:pPr>
              <w:jc w:val="center"/>
              <w:rPr>
                <w:rFonts w:ascii="Arial" w:hAnsi="Arial" w:cs="Arial"/>
                <w:b/>
                <w:color w:val="333333"/>
                <w:sz w:val="17"/>
                <w:szCs w:val="17"/>
              </w:rPr>
            </w:pPr>
            <w:r w:rsidRPr="000C05AE">
              <w:rPr>
                <w:rFonts w:ascii="Arial" w:hAnsi="Arial" w:cs="Arial"/>
                <w:b/>
                <w:color w:val="333333"/>
                <w:sz w:val="17"/>
                <w:szCs w:val="17"/>
              </w:rPr>
              <w:t>PROCESO</w:t>
            </w:r>
          </w:p>
        </w:tc>
        <w:tc>
          <w:tcPr>
            <w:tcW w:w="1700" w:type="dxa"/>
            <w:shd w:val="clear" w:color="auto" w:fill="E7E6E6" w:themeFill="background2"/>
            <w:vAlign w:val="center"/>
          </w:tcPr>
          <w:p w:rsidR="00296C1F" w:rsidRPr="000C05AE" w:rsidRDefault="002433B9" w:rsidP="00BC714A">
            <w:pPr>
              <w:jc w:val="center"/>
              <w:rPr>
                <w:rFonts w:ascii="Arial" w:hAnsi="Arial" w:cs="Arial"/>
                <w:b/>
                <w:color w:val="333333"/>
                <w:sz w:val="17"/>
                <w:szCs w:val="17"/>
              </w:rPr>
            </w:pPr>
            <w:r>
              <w:rPr>
                <w:rFonts w:ascii="Arial" w:hAnsi="Arial" w:cs="Arial"/>
                <w:b/>
                <w:color w:val="333333"/>
                <w:sz w:val="17"/>
                <w:szCs w:val="17"/>
              </w:rPr>
              <w:t>No. d</w:t>
            </w:r>
            <w:r w:rsidR="00296C1F" w:rsidRPr="000C05AE">
              <w:rPr>
                <w:rFonts w:ascii="Arial" w:hAnsi="Arial" w:cs="Arial"/>
                <w:b/>
                <w:color w:val="333333"/>
                <w:sz w:val="17"/>
                <w:szCs w:val="17"/>
              </w:rPr>
              <w:t xml:space="preserve">e </w:t>
            </w:r>
            <w:r>
              <w:rPr>
                <w:rFonts w:ascii="Arial" w:hAnsi="Arial" w:cs="Arial"/>
                <w:b/>
                <w:color w:val="333333"/>
                <w:sz w:val="17"/>
                <w:szCs w:val="17"/>
              </w:rPr>
              <w:t>No Conformidad</w:t>
            </w:r>
            <w:r w:rsidR="00177191">
              <w:rPr>
                <w:rFonts w:ascii="Arial" w:hAnsi="Arial" w:cs="Arial"/>
                <w:b/>
                <w:color w:val="333333"/>
                <w:sz w:val="17"/>
                <w:szCs w:val="17"/>
              </w:rPr>
              <w:t xml:space="preserve"> (NC)</w:t>
            </w:r>
            <w:r>
              <w:rPr>
                <w:rFonts w:ascii="Arial" w:hAnsi="Arial" w:cs="Arial"/>
                <w:b/>
                <w:color w:val="333333"/>
                <w:sz w:val="17"/>
                <w:szCs w:val="17"/>
              </w:rPr>
              <w:t xml:space="preserve"> / </w:t>
            </w:r>
            <w:r w:rsidR="001E6E82" w:rsidRPr="000C05AE">
              <w:rPr>
                <w:rFonts w:ascii="Arial" w:hAnsi="Arial" w:cs="Arial"/>
                <w:b/>
                <w:color w:val="333333"/>
                <w:sz w:val="17"/>
                <w:szCs w:val="17"/>
              </w:rPr>
              <w:t>O</w:t>
            </w:r>
            <w:r w:rsidR="00296C1F" w:rsidRPr="000C05AE">
              <w:rPr>
                <w:rFonts w:ascii="Arial" w:hAnsi="Arial" w:cs="Arial"/>
                <w:b/>
                <w:color w:val="333333"/>
                <w:sz w:val="17"/>
                <w:szCs w:val="17"/>
              </w:rPr>
              <w:t>portunidades de mejora</w:t>
            </w:r>
            <w:r w:rsidR="00177191">
              <w:rPr>
                <w:rFonts w:ascii="Arial" w:hAnsi="Arial" w:cs="Arial"/>
                <w:b/>
                <w:color w:val="333333"/>
                <w:sz w:val="17"/>
                <w:szCs w:val="17"/>
              </w:rPr>
              <w:t xml:space="preserve"> (OM)</w:t>
            </w:r>
          </w:p>
        </w:tc>
        <w:tc>
          <w:tcPr>
            <w:tcW w:w="3958" w:type="dxa"/>
            <w:shd w:val="clear" w:color="auto" w:fill="E7E6E6" w:themeFill="background2"/>
            <w:vAlign w:val="center"/>
          </w:tcPr>
          <w:p w:rsidR="00296C1F" w:rsidRPr="000C05AE" w:rsidRDefault="00296C1F" w:rsidP="00BC714A">
            <w:pPr>
              <w:jc w:val="center"/>
              <w:rPr>
                <w:rFonts w:ascii="Arial" w:hAnsi="Arial" w:cs="Arial"/>
                <w:b/>
                <w:color w:val="333333"/>
                <w:sz w:val="17"/>
                <w:szCs w:val="17"/>
              </w:rPr>
            </w:pPr>
            <w:r w:rsidRPr="000C05AE">
              <w:rPr>
                <w:rFonts w:ascii="Arial" w:hAnsi="Arial" w:cs="Arial"/>
                <w:b/>
                <w:color w:val="333333"/>
                <w:sz w:val="17"/>
                <w:szCs w:val="17"/>
              </w:rPr>
              <w:t>TEMAS</w:t>
            </w:r>
          </w:p>
        </w:tc>
        <w:tc>
          <w:tcPr>
            <w:tcW w:w="1856" w:type="dxa"/>
            <w:shd w:val="clear" w:color="auto" w:fill="E7E6E6" w:themeFill="background2"/>
            <w:vAlign w:val="center"/>
          </w:tcPr>
          <w:p w:rsidR="00296C1F" w:rsidRPr="000C05AE" w:rsidRDefault="00296C1F" w:rsidP="00BC714A">
            <w:pPr>
              <w:jc w:val="center"/>
              <w:rPr>
                <w:rFonts w:ascii="Arial" w:hAnsi="Arial" w:cs="Arial"/>
                <w:b/>
                <w:color w:val="333333"/>
                <w:sz w:val="17"/>
                <w:szCs w:val="17"/>
              </w:rPr>
            </w:pPr>
            <w:r w:rsidRPr="000C05AE">
              <w:rPr>
                <w:rFonts w:ascii="Arial" w:hAnsi="Arial" w:cs="Arial"/>
                <w:b/>
                <w:color w:val="333333"/>
                <w:sz w:val="17"/>
                <w:szCs w:val="17"/>
              </w:rPr>
              <w:t>ÁREAS</w:t>
            </w:r>
          </w:p>
        </w:tc>
      </w:tr>
      <w:tr w:rsidR="00296C1F" w:rsidRPr="0038653A" w:rsidTr="00BC714A">
        <w:trPr>
          <w:trHeight w:val="1531"/>
        </w:trPr>
        <w:tc>
          <w:tcPr>
            <w:tcW w:w="1950" w:type="dxa"/>
            <w:vAlign w:val="center"/>
          </w:tcPr>
          <w:p w:rsidR="00296C1F" w:rsidRPr="00D6288E" w:rsidRDefault="009A7751" w:rsidP="00BC714A">
            <w:pPr>
              <w:jc w:val="center"/>
              <w:rPr>
                <w:rFonts w:ascii="Arial" w:hAnsi="Arial" w:cs="Arial"/>
                <w:color w:val="333333"/>
                <w:sz w:val="17"/>
                <w:szCs w:val="17"/>
              </w:rPr>
            </w:pPr>
            <w:r w:rsidRPr="00D6288E">
              <w:rPr>
                <w:rFonts w:ascii="Arial" w:hAnsi="Arial" w:cs="Arial"/>
                <w:color w:val="333333"/>
                <w:sz w:val="17"/>
                <w:szCs w:val="17"/>
              </w:rPr>
              <w:t>Control Financiero Contable de las CCF</w:t>
            </w:r>
          </w:p>
        </w:tc>
        <w:tc>
          <w:tcPr>
            <w:tcW w:w="1700" w:type="dxa"/>
            <w:vAlign w:val="center"/>
          </w:tcPr>
          <w:p w:rsidR="00296C1F" w:rsidRPr="00D6288E" w:rsidRDefault="002433B9" w:rsidP="00BC714A">
            <w:pPr>
              <w:jc w:val="center"/>
              <w:rPr>
                <w:rFonts w:ascii="Arial" w:hAnsi="Arial" w:cs="Arial"/>
                <w:color w:val="333333"/>
                <w:sz w:val="17"/>
                <w:szCs w:val="17"/>
              </w:rPr>
            </w:pPr>
            <w:r>
              <w:rPr>
                <w:rFonts w:ascii="Arial" w:hAnsi="Arial" w:cs="Arial"/>
                <w:color w:val="333333"/>
                <w:sz w:val="17"/>
                <w:szCs w:val="17"/>
              </w:rPr>
              <w:t>(</w:t>
            </w:r>
            <w:r w:rsidR="009A7751" w:rsidRPr="00D6288E">
              <w:rPr>
                <w:rFonts w:ascii="Arial" w:hAnsi="Arial" w:cs="Arial"/>
                <w:color w:val="333333"/>
                <w:sz w:val="17"/>
                <w:szCs w:val="17"/>
              </w:rPr>
              <w:t>3</w:t>
            </w:r>
            <w:r>
              <w:rPr>
                <w:rFonts w:ascii="Arial" w:hAnsi="Arial" w:cs="Arial"/>
                <w:color w:val="333333"/>
                <w:sz w:val="17"/>
                <w:szCs w:val="17"/>
              </w:rPr>
              <w:t>)</w:t>
            </w:r>
            <w:r w:rsidR="001E6E82" w:rsidRPr="00D6288E">
              <w:rPr>
                <w:rFonts w:ascii="Arial" w:hAnsi="Arial" w:cs="Arial"/>
                <w:color w:val="333333"/>
                <w:sz w:val="17"/>
                <w:szCs w:val="17"/>
              </w:rPr>
              <w:t xml:space="preserve"> N</w:t>
            </w:r>
            <w:r>
              <w:rPr>
                <w:rFonts w:ascii="Arial" w:hAnsi="Arial" w:cs="Arial"/>
                <w:color w:val="333333"/>
                <w:sz w:val="17"/>
                <w:szCs w:val="17"/>
              </w:rPr>
              <w:t>C</w:t>
            </w:r>
          </w:p>
        </w:tc>
        <w:tc>
          <w:tcPr>
            <w:tcW w:w="3958" w:type="dxa"/>
            <w:vAlign w:val="center"/>
          </w:tcPr>
          <w:p w:rsidR="00296C1F" w:rsidRPr="00FB5FF7" w:rsidRDefault="001E32FC" w:rsidP="00BC714A">
            <w:pPr>
              <w:spacing w:after="0" w:line="240" w:lineRule="auto"/>
              <w:jc w:val="both"/>
              <w:rPr>
                <w:rFonts w:ascii="Arial" w:hAnsi="Arial" w:cs="Arial"/>
                <w:color w:val="333333"/>
                <w:sz w:val="17"/>
                <w:szCs w:val="17"/>
              </w:rPr>
            </w:pPr>
            <w:r>
              <w:rPr>
                <w:rFonts w:ascii="Arial" w:hAnsi="Arial" w:cs="Arial"/>
                <w:color w:val="333333"/>
                <w:sz w:val="17"/>
                <w:szCs w:val="17"/>
              </w:rPr>
              <w:t xml:space="preserve">Atrasos en actividades propuestas </w:t>
            </w:r>
            <w:r w:rsidRPr="00FB5FF7">
              <w:rPr>
                <w:rFonts w:ascii="Arial" w:hAnsi="Arial" w:cs="Arial"/>
                <w:color w:val="333333"/>
                <w:sz w:val="17"/>
                <w:szCs w:val="17"/>
              </w:rPr>
              <w:t xml:space="preserve"> en el Plan de Acción</w:t>
            </w:r>
            <w:r>
              <w:rPr>
                <w:rFonts w:ascii="Arial" w:hAnsi="Arial" w:cs="Arial"/>
                <w:color w:val="333333"/>
                <w:sz w:val="17"/>
                <w:szCs w:val="17"/>
              </w:rPr>
              <w:t xml:space="preserve"> propuesto para la vigencia 2014, no se dio cumplimiento al 100% frente a lo programado en dichas actividades.</w:t>
            </w:r>
          </w:p>
        </w:tc>
        <w:tc>
          <w:tcPr>
            <w:tcW w:w="1856" w:type="dxa"/>
            <w:vAlign w:val="center"/>
          </w:tcPr>
          <w:p w:rsidR="009E0516" w:rsidRDefault="009E0516" w:rsidP="00BC714A">
            <w:pPr>
              <w:jc w:val="center"/>
              <w:rPr>
                <w:rFonts w:ascii="Arial" w:hAnsi="Arial" w:cs="Arial"/>
                <w:color w:val="333333"/>
                <w:sz w:val="17"/>
                <w:szCs w:val="17"/>
              </w:rPr>
            </w:pPr>
          </w:p>
          <w:p w:rsidR="00296C1F" w:rsidRPr="00F454CB" w:rsidRDefault="009A7751" w:rsidP="00BC714A">
            <w:pPr>
              <w:jc w:val="center"/>
            </w:pPr>
            <w:r w:rsidRPr="00D6288E">
              <w:rPr>
                <w:rFonts w:ascii="Arial" w:hAnsi="Arial" w:cs="Arial"/>
                <w:color w:val="333333"/>
                <w:sz w:val="17"/>
                <w:szCs w:val="17"/>
              </w:rPr>
              <w:t>Delegada para la Gestión - Dirección de Gestión Financiera y Contable</w:t>
            </w:r>
          </w:p>
        </w:tc>
      </w:tr>
      <w:tr w:rsidR="00296C1F" w:rsidRPr="0038653A" w:rsidTr="00BC714A">
        <w:trPr>
          <w:trHeight w:val="421"/>
        </w:trPr>
        <w:tc>
          <w:tcPr>
            <w:tcW w:w="1950" w:type="dxa"/>
            <w:vMerge w:val="restart"/>
            <w:vAlign w:val="center"/>
          </w:tcPr>
          <w:p w:rsidR="00296C1F" w:rsidRPr="0038653A" w:rsidRDefault="00F454CB" w:rsidP="00BC714A">
            <w:pPr>
              <w:jc w:val="center"/>
              <w:rPr>
                <w:b/>
              </w:rPr>
            </w:pPr>
            <w:r w:rsidRPr="00D6288E">
              <w:rPr>
                <w:rFonts w:ascii="Arial" w:hAnsi="Arial" w:cs="Arial"/>
                <w:color w:val="333333"/>
                <w:sz w:val="17"/>
                <w:szCs w:val="17"/>
              </w:rPr>
              <w:t>Gestión del Talento Humano</w:t>
            </w:r>
          </w:p>
        </w:tc>
        <w:tc>
          <w:tcPr>
            <w:tcW w:w="1700" w:type="dxa"/>
            <w:vMerge w:val="restart"/>
            <w:vAlign w:val="center"/>
          </w:tcPr>
          <w:p w:rsidR="00296C1F" w:rsidRPr="0038653A" w:rsidRDefault="002433B9" w:rsidP="00BC714A">
            <w:pPr>
              <w:jc w:val="center"/>
              <w:rPr>
                <w:b/>
              </w:rPr>
            </w:pPr>
            <w:r>
              <w:rPr>
                <w:rFonts w:ascii="Arial" w:hAnsi="Arial" w:cs="Arial"/>
                <w:color w:val="333333"/>
                <w:sz w:val="17"/>
                <w:szCs w:val="17"/>
              </w:rPr>
              <w:t>(</w:t>
            </w:r>
            <w:r w:rsidR="001E6E82" w:rsidRPr="00D6288E">
              <w:rPr>
                <w:rFonts w:ascii="Arial" w:hAnsi="Arial" w:cs="Arial"/>
                <w:color w:val="333333"/>
                <w:sz w:val="17"/>
                <w:szCs w:val="17"/>
              </w:rPr>
              <w:t>3</w:t>
            </w:r>
            <w:r>
              <w:rPr>
                <w:rFonts w:ascii="Arial" w:hAnsi="Arial" w:cs="Arial"/>
                <w:color w:val="333333"/>
                <w:sz w:val="17"/>
                <w:szCs w:val="17"/>
              </w:rPr>
              <w:t xml:space="preserve">) </w:t>
            </w:r>
            <w:r w:rsidR="001E6E82" w:rsidRPr="00D6288E">
              <w:rPr>
                <w:rFonts w:ascii="Arial" w:hAnsi="Arial" w:cs="Arial"/>
                <w:color w:val="333333"/>
                <w:sz w:val="17"/>
                <w:szCs w:val="17"/>
              </w:rPr>
              <w:t>N</w:t>
            </w:r>
            <w:r>
              <w:rPr>
                <w:rFonts w:ascii="Arial" w:hAnsi="Arial" w:cs="Arial"/>
                <w:color w:val="333333"/>
                <w:sz w:val="17"/>
                <w:szCs w:val="17"/>
              </w:rPr>
              <w:t>C</w:t>
            </w:r>
          </w:p>
        </w:tc>
        <w:tc>
          <w:tcPr>
            <w:tcW w:w="3958" w:type="dxa"/>
          </w:tcPr>
          <w:p w:rsidR="00296C1F" w:rsidRPr="003C5435" w:rsidRDefault="00296C1F" w:rsidP="00DB659A">
            <w:pPr>
              <w:rPr>
                <w:rFonts w:ascii="Arial" w:hAnsi="Arial" w:cs="Arial"/>
                <w:color w:val="333333"/>
                <w:sz w:val="17"/>
                <w:szCs w:val="17"/>
              </w:rPr>
            </w:pPr>
            <w:r w:rsidRPr="003C5435">
              <w:rPr>
                <w:rFonts w:ascii="Arial" w:hAnsi="Arial" w:cs="Arial"/>
                <w:color w:val="333333"/>
                <w:sz w:val="17"/>
                <w:szCs w:val="17"/>
              </w:rPr>
              <w:t xml:space="preserve">1. </w:t>
            </w:r>
            <w:r w:rsidR="00DB659A">
              <w:rPr>
                <w:rFonts w:ascii="Arial" w:hAnsi="Arial" w:cs="Arial"/>
                <w:color w:val="333333"/>
                <w:sz w:val="17"/>
                <w:szCs w:val="17"/>
              </w:rPr>
              <w:t>Debilidades en el</w:t>
            </w:r>
            <w:r w:rsidR="003C5435" w:rsidRPr="003C5435">
              <w:rPr>
                <w:rFonts w:ascii="Arial" w:hAnsi="Arial" w:cs="Arial"/>
                <w:color w:val="333333"/>
                <w:sz w:val="17"/>
                <w:szCs w:val="17"/>
              </w:rPr>
              <w:t xml:space="preserve"> cumplimiento </w:t>
            </w:r>
            <w:r w:rsidR="00AD4EAF">
              <w:rPr>
                <w:rFonts w:ascii="Arial" w:hAnsi="Arial" w:cs="Arial"/>
                <w:color w:val="333333"/>
                <w:sz w:val="17"/>
                <w:szCs w:val="17"/>
              </w:rPr>
              <w:t xml:space="preserve"> </w:t>
            </w:r>
            <w:r w:rsidR="00DB659A">
              <w:rPr>
                <w:rFonts w:ascii="Arial" w:hAnsi="Arial" w:cs="Arial"/>
                <w:color w:val="333333"/>
                <w:sz w:val="17"/>
                <w:szCs w:val="17"/>
              </w:rPr>
              <w:t>al</w:t>
            </w:r>
            <w:r w:rsidR="00AD4EAF">
              <w:rPr>
                <w:rFonts w:ascii="Arial" w:hAnsi="Arial" w:cs="Arial"/>
                <w:color w:val="333333"/>
                <w:sz w:val="17"/>
                <w:szCs w:val="17"/>
              </w:rPr>
              <w:t xml:space="preserve"> 100% </w:t>
            </w:r>
            <w:r w:rsidR="003C5435" w:rsidRPr="003C5435">
              <w:rPr>
                <w:rFonts w:ascii="Arial" w:hAnsi="Arial" w:cs="Arial"/>
                <w:color w:val="333333"/>
                <w:sz w:val="17"/>
                <w:szCs w:val="17"/>
              </w:rPr>
              <w:t>del Plan de Capacitación Institucional.</w:t>
            </w:r>
          </w:p>
        </w:tc>
        <w:tc>
          <w:tcPr>
            <w:tcW w:w="1856" w:type="dxa"/>
            <w:vMerge w:val="restart"/>
            <w:vAlign w:val="center"/>
          </w:tcPr>
          <w:p w:rsidR="00296C1F" w:rsidRPr="0038653A" w:rsidRDefault="00F454CB" w:rsidP="00BC714A">
            <w:pPr>
              <w:jc w:val="center"/>
              <w:rPr>
                <w:b/>
              </w:rPr>
            </w:pPr>
            <w:r w:rsidRPr="00D6288E">
              <w:rPr>
                <w:rFonts w:ascii="Arial" w:hAnsi="Arial" w:cs="Arial"/>
                <w:color w:val="333333"/>
                <w:sz w:val="17"/>
                <w:szCs w:val="17"/>
              </w:rPr>
              <w:t>Secretaría General - Grupo de Gestión del Talento Humano</w:t>
            </w:r>
          </w:p>
        </w:tc>
      </w:tr>
      <w:tr w:rsidR="00296C1F" w:rsidRPr="0038653A" w:rsidTr="00BC714A">
        <w:trPr>
          <w:trHeight w:val="400"/>
        </w:trPr>
        <w:tc>
          <w:tcPr>
            <w:tcW w:w="1950" w:type="dxa"/>
            <w:vMerge/>
            <w:vAlign w:val="center"/>
          </w:tcPr>
          <w:p w:rsidR="00296C1F" w:rsidRPr="0038653A" w:rsidRDefault="00296C1F" w:rsidP="00BC714A">
            <w:pPr>
              <w:jc w:val="center"/>
              <w:rPr>
                <w:b/>
              </w:rPr>
            </w:pPr>
          </w:p>
        </w:tc>
        <w:tc>
          <w:tcPr>
            <w:tcW w:w="1700" w:type="dxa"/>
            <w:vMerge/>
            <w:vAlign w:val="center"/>
          </w:tcPr>
          <w:p w:rsidR="00296C1F" w:rsidRPr="0038653A" w:rsidRDefault="00296C1F" w:rsidP="00BC714A">
            <w:pPr>
              <w:jc w:val="center"/>
              <w:rPr>
                <w:b/>
              </w:rPr>
            </w:pPr>
          </w:p>
        </w:tc>
        <w:tc>
          <w:tcPr>
            <w:tcW w:w="3958" w:type="dxa"/>
          </w:tcPr>
          <w:p w:rsidR="00296C1F" w:rsidRPr="0038653A" w:rsidRDefault="00296C1F" w:rsidP="00DB659A">
            <w:pPr>
              <w:rPr>
                <w:b/>
              </w:rPr>
            </w:pPr>
            <w:r w:rsidRPr="003C5435">
              <w:rPr>
                <w:rFonts w:ascii="Arial" w:hAnsi="Arial" w:cs="Arial"/>
                <w:color w:val="333333"/>
                <w:sz w:val="17"/>
                <w:szCs w:val="17"/>
              </w:rPr>
              <w:t xml:space="preserve">2. </w:t>
            </w:r>
            <w:r w:rsidR="003C5435" w:rsidRPr="003C5435">
              <w:rPr>
                <w:rFonts w:ascii="Arial" w:hAnsi="Arial" w:cs="Arial"/>
                <w:color w:val="333333"/>
                <w:sz w:val="17"/>
                <w:szCs w:val="17"/>
              </w:rPr>
              <w:t xml:space="preserve"> D</w:t>
            </w:r>
            <w:r w:rsidR="00DB659A">
              <w:rPr>
                <w:rFonts w:ascii="Arial" w:hAnsi="Arial" w:cs="Arial"/>
                <w:color w:val="333333"/>
                <w:sz w:val="17"/>
                <w:szCs w:val="17"/>
              </w:rPr>
              <w:t>ebilidades</w:t>
            </w:r>
            <w:r w:rsidR="003C5435" w:rsidRPr="003C5435">
              <w:rPr>
                <w:rFonts w:ascii="Arial" w:hAnsi="Arial" w:cs="Arial"/>
                <w:color w:val="333333"/>
                <w:sz w:val="17"/>
                <w:szCs w:val="17"/>
              </w:rPr>
              <w:t xml:space="preserve"> </w:t>
            </w:r>
            <w:r w:rsidR="00AD4EAF">
              <w:rPr>
                <w:rFonts w:ascii="Arial" w:hAnsi="Arial" w:cs="Arial"/>
                <w:color w:val="333333"/>
                <w:sz w:val="17"/>
                <w:szCs w:val="17"/>
              </w:rPr>
              <w:t xml:space="preserve">en la ejecución del </w:t>
            </w:r>
            <w:r w:rsidR="003C5435" w:rsidRPr="003C5435">
              <w:rPr>
                <w:rFonts w:ascii="Arial" w:hAnsi="Arial" w:cs="Arial"/>
                <w:color w:val="333333"/>
                <w:sz w:val="17"/>
                <w:szCs w:val="17"/>
              </w:rPr>
              <w:t>procedimiento de nómina.</w:t>
            </w:r>
          </w:p>
        </w:tc>
        <w:tc>
          <w:tcPr>
            <w:tcW w:w="1856" w:type="dxa"/>
            <w:vMerge/>
            <w:vAlign w:val="center"/>
          </w:tcPr>
          <w:p w:rsidR="00296C1F" w:rsidRPr="0038653A" w:rsidRDefault="00296C1F" w:rsidP="00BC714A">
            <w:pPr>
              <w:jc w:val="center"/>
              <w:rPr>
                <w:b/>
              </w:rPr>
            </w:pPr>
          </w:p>
        </w:tc>
      </w:tr>
      <w:tr w:rsidR="00296C1F" w:rsidRPr="0038653A" w:rsidTr="00BC714A">
        <w:trPr>
          <w:trHeight w:val="665"/>
        </w:trPr>
        <w:tc>
          <w:tcPr>
            <w:tcW w:w="1950" w:type="dxa"/>
            <w:vMerge/>
            <w:vAlign w:val="center"/>
          </w:tcPr>
          <w:p w:rsidR="00296C1F" w:rsidRPr="0038653A" w:rsidRDefault="00296C1F" w:rsidP="00BC714A">
            <w:pPr>
              <w:jc w:val="center"/>
              <w:rPr>
                <w:b/>
              </w:rPr>
            </w:pPr>
          </w:p>
        </w:tc>
        <w:tc>
          <w:tcPr>
            <w:tcW w:w="1700" w:type="dxa"/>
            <w:vMerge/>
            <w:vAlign w:val="center"/>
          </w:tcPr>
          <w:p w:rsidR="00296C1F" w:rsidRPr="0038653A" w:rsidRDefault="00296C1F" w:rsidP="00BC714A">
            <w:pPr>
              <w:jc w:val="center"/>
              <w:rPr>
                <w:b/>
              </w:rPr>
            </w:pPr>
          </w:p>
        </w:tc>
        <w:tc>
          <w:tcPr>
            <w:tcW w:w="3958" w:type="dxa"/>
          </w:tcPr>
          <w:p w:rsidR="00296C1F" w:rsidRPr="0038653A" w:rsidRDefault="00296C1F" w:rsidP="00BC714A">
            <w:pPr>
              <w:rPr>
                <w:b/>
              </w:rPr>
            </w:pPr>
            <w:r w:rsidRPr="003C5435">
              <w:rPr>
                <w:rFonts w:ascii="Arial" w:hAnsi="Arial" w:cs="Arial"/>
                <w:color w:val="333333"/>
                <w:sz w:val="17"/>
                <w:szCs w:val="17"/>
              </w:rPr>
              <w:t>3.</w:t>
            </w:r>
            <w:r w:rsidR="003C5435" w:rsidRPr="003C5435">
              <w:rPr>
                <w:rFonts w:ascii="Arial" w:hAnsi="Arial" w:cs="Arial"/>
                <w:color w:val="333333"/>
                <w:sz w:val="17"/>
                <w:szCs w:val="17"/>
              </w:rPr>
              <w:t xml:space="preserve">  </w:t>
            </w:r>
            <w:r w:rsidR="00D6288E">
              <w:rPr>
                <w:rFonts w:ascii="Arial" w:hAnsi="Arial" w:cs="Arial"/>
                <w:color w:val="333333"/>
                <w:sz w:val="17"/>
                <w:szCs w:val="17"/>
              </w:rPr>
              <w:t>Debilidades en el cumplimiento</w:t>
            </w:r>
            <w:r w:rsidR="003C5435" w:rsidRPr="003C5435">
              <w:rPr>
                <w:rFonts w:ascii="Arial" w:hAnsi="Arial" w:cs="Arial"/>
                <w:color w:val="333333"/>
                <w:sz w:val="17"/>
                <w:szCs w:val="17"/>
              </w:rPr>
              <w:t xml:space="preserve"> de término</w:t>
            </w:r>
            <w:r w:rsidR="00D6288E">
              <w:rPr>
                <w:rFonts w:ascii="Arial" w:hAnsi="Arial" w:cs="Arial"/>
                <w:color w:val="333333"/>
                <w:sz w:val="17"/>
                <w:szCs w:val="17"/>
              </w:rPr>
              <w:t>s</w:t>
            </w:r>
            <w:r w:rsidR="003C5435" w:rsidRPr="003C5435">
              <w:rPr>
                <w:rFonts w:ascii="Arial" w:hAnsi="Arial" w:cs="Arial"/>
                <w:color w:val="333333"/>
                <w:sz w:val="17"/>
                <w:szCs w:val="17"/>
              </w:rPr>
              <w:t xml:space="preserve"> en la emisión de bonos pensionales</w:t>
            </w:r>
            <w:r w:rsidR="00AD4EAF">
              <w:rPr>
                <w:rFonts w:ascii="Arial" w:hAnsi="Arial" w:cs="Arial"/>
                <w:color w:val="333333"/>
                <w:sz w:val="17"/>
                <w:szCs w:val="17"/>
              </w:rPr>
              <w:t>.</w:t>
            </w:r>
          </w:p>
        </w:tc>
        <w:tc>
          <w:tcPr>
            <w:tcW w:w="1856" w:type="dxa"/>
            <w:vMerge/>
            <w:vAlign w:val="center"/>
          </w:tcPr>
          <w:p w:rsidR="00296C1F" w:rsidRPr="0038653A" w:rsidRDefault="00296C1F" w:rsidP="00BC714A">
            <w:pPr>
              <w:jc w:val="center"/>
              <w:rPr>
                <w:b/>
              </w:rPr>
            </w:pPr>
          </w:p>
        </w:tc>
      </w:tr>
      <w:tr w:rsidR="00296C1F" w:rsidRPr="0038653A" w:rsidTr="00BC714A">
        <w:trPr>
          <w:trHeight w:val="200"/>
        </w:trPr>
        <w:tc>
          <w:tcPr>
            <w:tcW w:w="1950" w:type="dxa"/>
            <w:vMerge w:val="restart"/>
            <w:vAlign w:val="center"/>
          </w:tcPr>
          <w:p w:rsidR="00296C1F" w:rsidRPr="0038653A" w:rsidRDefault="001E6E82" w:rsidP="00BC714A">
            <w:pPr>
              <w:jc w:val="center"/>
              <w:rPr>
                <w:b/>
              </w:rPr>
            </w:pPr>
            <w:r w:rsidRPr="00D6288E">
              <w:rPr>
                <w:rFonts w:ascii="Arial" w:hAnsi="Arial" w:cs="Arial"/>
                <w:color w:val="333333"/>
                <w:sz w:val="17"/>
                <w:szCs w:val="17"/>
              </w:rPr>
              <w:t>Control Legal de Cajas de Compensación Familiar</w:t>
            </w:r>
          </w:p>
        </w:tc>
        <w:tc>
          <w:tcPr>
            <w:tcW w:w="1700" w:type="dxa"/>
            <w:vMerge w:val="restart"/>
            <w:vAlign w:val="center"/>
          </w:tcPr>
          <w:p w:rsidR="00296C1F" w:rsidRPr="002433B9" w:rsidRDefault="002433B9" w:rsidP="00BC714A">
            <w:pPr>
              <w:jc w:val="center"/>
              <w:rPr>
                <w:rFonts w:ascii="Arial" w:hAnsi="Arial" w:cs="Arial"/>
                <w:color w:val="333333"/>
                <w:sz w:val="17"/>
                <w:szCs w:val="17"/>
              </w:rPr>
            </w:pPr>
            <w:r>
              <w:rPr>
                <w:rFonts w:ascii="Arial" w:hAnsi="Arial" w:cs="Arial"/>
                <w:color w:val="333333"/>
                <w:sz w:val="17"/>
                <w:szCs w:val="17"/>
              </w:rPr>
              <w:t xml:space="preserve">(1)  </w:t>
            </w:r>
            <w:r w:rsidR="001E6E82" w:rsidRPr="002433B9">
              <w:rPr>
                <w:rFonts w:ascii="Arial" w:hAnsi="Arial" w:cs="Arial"/>
                <w:color w:val="333333"/>
                <w:sz w:val="17"/>
                <w:szCs w:val="17"/>
              </w:rPr>
              <w:t>NC</w:t>
            </w:r>
            <w:r w:rsidRPr="002433B9">
              <w:rPr>
                <w:rFonts w:ascii="Arial" w:hAnsi="Arial" w:cs="Arial"/>
                <w:color w:val="333333"/>
                <w:sz w:val="17"/>
                <w:szCs w:val="17"/>
              </w:rPr>
              <w:t xml:space="preserve"> y </w:t>
            </w:r>
            <w:r w:rsidR="001E6E82" w:rsidRPr="002433B9">
              <w:rPr>
                <w:rFonts w:ascii="Arial" w:hAnsi="Arial" w:cs="Arial"/>
                <w:color w:val="333333"/>
                <w:sz w:val="17"/>
                <w:szCs w:val="17"/>
              </w:rPr>
              <w:t xml:space="preserve"> </w:t>
            </w:r>
            <w:r w:rsidRPr="002433B9">
              <w:rPr>
                <w:rFonts w:ascii="Arial" w:hAnsi="Arial" w:cs="Arial"/>
                <w:color w:val="333333"/>
                <w:sz w:val="17"/>
                <w:szCs w:val="17"/>
              </w:rPr>
              <w:t>(</w:t>
            </w:r>
            <w:r w:rsidR="001E6E82" w:rsidRPr="002433B9">
              <w:rPr>
                <w:rFonts w:ascii="Arial" w:hAnsi="Arial" w:cs="Arial"/>
                <w:color w:val="333333"/>
                <w:sz w:val="17"/>
                <w:szCs w:val="17"/>
              </w:rPr>
              <w:t>2</w:t>
            </w:r>
            <w:r w:rsidRPr="002433B9">
              <w:rPr>
                <w:rFonts w:ascii="Arial" w:hAnsi="Arial" w:cs="Arial"/>
                <w:color w:val="333333"/>
                <w:sz w:val="17"/>
                <w:szCs w:val="17"/>
              </w:rPr>
              <w:t>)</w:t>
            </w:r>
            <w:r w:rsidR="001E6E82" w:rsidRPr="002433B9">
              <w:rPr>
                <w:rFonts w:ascii="Arial" w:hAnsi="Arial" w:cs="Arial"/>
                <w:color w:val="333333"/>
                <w:sz w:val="17"/>
                <w:szCs w:val="17"/>
              </w:rPr>
              <w:t xml:space="preserve">  O</w:t>
            </w:r>
            <w:r w:rsidRPr="002433B9">
              <w:rPr>
                <w:rFonts w:ascii="Arial" w:hAnsi="Arial" w:cs="Arial"/>
                <w:color w:val="333333"/>
                <w:sz w:val="17"/>
                <w:szCs w:val="17"/>
              </w:rPr>
              <w:t>M</w:t>
            </w:r>
          </w:p>
        </w:tc>
        <w:tc>
          <w:tcPr>
            <w:tcW w:w="3958" w:type="dxa"/>
          </w:tcPr>
          <w:p w:rsidR="00296C1F" w:rsidRPr="0038653A" w:rsidRDefault="00D6288E" w:rsidP="00BC714A">
            <w:pPr>
              <w:rPr>
                <w:b/>
              </w:rPr>
            </w:pPr>
            <w:r w:rsidRPr="00D6288E">
              <w:rPr>
                <w:rFonts w:ascii="Arial" w:hAnsi="Arial" w:cs="Arial"/>
                <w:color w:val="333333"/>
                <w:sz w:val="17"/>
                <w:szCs w:val="17"/>
              </w:rPr>
              <w:t>1. Debilidades en el cumplimient</w:t>
            </w:r>
            <w:r>
              <w:rPr>
                <w:rFonts w:ascii="Arial" w:hAnsi="Arial" w:cs="Arial"/>
                <w:color w:val="333333"/>
                <w:sz w:val="17"/>
                <w:szCs w:val="17"/>
              </w:rPr>
              <w:t>o de términos</w:t>
            </w:r>
            <w:r w:rsidR="00AD4EAF">
              <w:rPr>
                <w:rFonts w:ascii="Arial" w:hAnsi="Arial" w:cs="Arial"/>
                <w:color w:val="333333"/>
                <w:sz w:val="17"/>
                <w:szCs w:val="17"/>
              </w:rPr>
              <w:t>.</w:t>
            </w:r>
            <w:r>
              <w:rPr>
                <w:rFonts w:ascii="Arial" w:hAnsi="Arial" w:cs="Arial"/>
                <w:color w:val="333333"/>
                <w:sz w:val="17"/>
                <w:szCs w:val="17"/>
              </w:rPr>
              <w:t xml:space="preserve"> </w:t>
            </w:r>
          </w:p>
        </w:tc>
        <w:tc>
          <w:tcPr>
            <w:tcW w:w="1856" w:type="dxa"/>
            <w:vMerge w:val="restart"/>
            <w:vAlign w:val="center"/>
          </w:tcPr>
          <w:p w:rsidR="00296C1F" w:rsidRPr="0038653A" w:rsidRDefault="001E6E82" w:rsidP="00BC714A">
            <w:pPr>
              <w:jc w:val="center"/>
              <w:rPr>
                <w:b/>
              </w:rPr>
            </w:pPr>
            <w:r w:rsidRPr="00D6288E">
              <w:rPr>
                <w:rFonts w:ascii="Arial" w:hAnsi="Arial" w:cs="Arial"/>
                <w:color w:val="333333"/>
                <w:sz w:val="17"/>
                <w:szCs w:val="17"/>
              </w:rPr>
              <w:t>Delegada para la Responsabilidad Administrativa y las Medidas Especiales</w:t>
            </w:r>
          </w:p>
        </w:tc>
      </w:tr>
      <w:tr w:rsidR="00296C1F" w:rsidRPr="0038653A" w:rsidTr="00BC714A">
        <w:trPr>
          <w:trHeight w:val="200"/>
        </w:trPr>
        <w:tc>
          <w:tcPr>
            <w:tcW w:w="1950" w:type="dxa"/>
            <w:vMerge/>
            <w:vAlign w:val="center"/>
          </w:tcPr>
          <w:p w:rsidR="00296C1F" w:rsidRPr="0038653A" w:rsidRDefault="00296C1F" w:rsidP="00BC714A">
            <w:pPr>
              <w:jc w:val="center"/>
              <w:rPr>
                <w:b/>
              </w:rPr>
            </w:pPr>
          </w:p>
        </w:tc>
        <w:tc>
          <w:tcPr>
            <w:tcW w:w="1700" w:type="dxa"/>
            <w:vMerge/>
            <w:vAlign w:val="center"/>
          </w:tcPr>
          <w:p w:rsidR="00296C1F" w:rsidRPr="0038653A" w:rsidRDefault="00296C1F" w:rsidP="00BC714A">
            <w:pPr>
              <w:jc w:val="center"/>
              <w:rPr>
                <w:b/>
              </w:rPr>
            </w:pPr>
          </w:p>
        </w:tc>
        <w:tc>
          <w:tcPr>
            <w:tcW w:w="3958" w:type="dxa"/>
          </w:tcPr>
          <w:p w:rsidR="00296C1F" w:rsidRPr="0038653A" w:rsidRDefault="00296C1F" w:rsidP="00BC714A">
            <w:pPr>
              <w:jc w:val="both"/>
              <w:rPr>
                <w:b/>
              </w:rPr>
            </w:pPr>
            <w:r w:rsidRPr="00D6288E">
              <w:rPr>
                <w:rFonts w:ascii="Arial" w:hAnsi="Arial" w:cs="Arial"/>
                <w:color w:val="333333"/>
                <w:sz w:val="17"/>
                <w:szCs w:val="17"/>
              </w:rPr>
              <w:t>2.</w:t>
            </w:r>
            <w:r w:rsidR="00D6288E">
              <w:rPr>
                <w:rFonts w:ascii="Arial" w:hAnsi="Arial" w:cs="Arial"/>
                <w:color w:val="333333"/>
                <w:sz w:val="17"/>
                <w:szCs w:val="17"/>
              </w:rPr>
              <w:t xml:space="preserve"> </w:t>
            </w:r>
            <w:r w:rsidR="00D6288E" w:rsidRPr="00D6288E">
              <w:rPr>
                <w:rFonts w:ascii="Arial" w:hAnsi="Arial" w:cs="Arial"/>
                <w:color w:val="333333"/>
                <w:sz w:val="17"/>
                <w:szCs w:val="17"/>
              </w:rPr>
              <w:t>No se cuenta con una matriz de control de actuaciones de las averiguaciones preliminares.</w:t>
            </w:r>
          </w:p>
        </w:tc>
        <w:tc>
          <w:tcPr>
            <w:tcW w:w="1856" w:type="dxa"/>
            <w:vMerge/>
            <w:vAlign w:val="center"/>
          </w:tcPr>
          <w:p w:rsidR="00296C1F" w:rsidRPr="0038653A" w:rsidRDefault="00296C1F" w:rsidP="00BC714A">
            <w:pPr>
              <w:jc w:val="center"/>
              <w:rPr>
                <w:b/>
              </w:rPr>
            </w:pPr>
          </w:p>
        </w:tc>
      </w:tr>
      <w:tr w:rsidR="00296C1F" w:rsidRPr="0038653A" w:rsidTr="00BC714A">
        <w:trPr>
          <w:trHeight w:val="200"/>
        </w:trPr>
        <w:tc>
          <w:tcPr>
            <w:tcW w:w="1950" w:type="dxa"/>
            <w:vMerge/>
            <w:vAlign w:val="center"/>
          </w:tcPr>
          <w:p w:rsidR="00296C1F" w:rsidRPr="0038653A" w:rsidRDefault="00296C1F" w:rsidP="00BC714A">
            <w:pPr>
              <w:jc w:val="center"/>
              <w:rPr>
                <w:b/>
              </w:rPr>
            </w:pPr>
          </w:p>
        </w:tc>
        <w:tc>
          <w:tcPr>
            <w:tcW w:w="1700" w:type="dxa"/>
            <w:vMerge/>
            <w:vAlign w:val="center"/>
          </w:tcPr>
          <w:p w:rsidR="00296C1F" w:rsidRPr="0038653A" w:rsidRDefault="00296C1F" w:rsidP="00BC714A">
            <w:pPr>
              <w:jc w:val="center"/>
              <w:rPr>
                <w:b/>
              </w:rPr>
            </w:pPr>
          </w:p>
        </w:tc>
        <w:tc>
          <w:tcPr>
            <w:tcW w:w="3958" w:type="dxa"/>
          </w:tcPr>
          <w:p w:rsidR="00296C1F" w:rsidRPr="0038653A" w:rsidRDefault="00296C1F" w:rsidP="00BC714A">
            <w:pPr>
              <w:rPr>
                <w:b/>
              </w:rPr>
            </w:pPr>
            <w:r w:rsidRPr="00D6288E">
              <w:rPr>
                <w:rFonts w:ascii="Arial" w:hAnsi="Arial" w:cs="Arial"/>
                <w:color w:val="333333"/>
                <w:sz w:val="17"/>
                <w:szCs w:val="17"/>
              </w:rPr>
              <w:t>3.</w:t>
            </w:r>
            <w:r w:rsidR="00D6288E">
              <w:rPr>
                <w:rFonts w:ascii="Arial" w:hAnsi="Arial" w:cs="Arial"/>
                <w:color w:val="333333"/>
                <w:sz w:val="17"/>
                <w:szCs w:val="17"/>
              </w:rPr>
              <w:t xml:space="preserve"> </w:t>
            </w:r>
            <w:r w:rsidR="00D6288E" w:rsidRPr="00D6288E">
              <w:rPr>
                <w:rFonts w:ascii="Arial" w:hAnsi="Arial" w:cs="Arial"/>
                <w:color w:val="333333"/>
                <w:sz w:val="17"/>
                <w:szCs w:val="17"/>
              </w:rPr>
              <w:t>Recomendación frente a</w:t>
            </w:r>
            <w:r w:rsidR="00153ACA">
              <w:rPr>
                <w:rFonts w:ascii="Arial" w:hAnsi="Arial" w:cs="Arial"/>
                <w:color w:val="333333"/>
                <w:sz w:val="17"/>
                <w:szCs w:val="17"/>
              </w:rPr>
              <w:t xml:space="preserve"> </w:t>
            </w:r>
            <w:r w:rsidR="00D6288E" w:rsidRPr="00D6288E">
              <w:rPr>
                <w:rFonts w:ascii="Arial" w:hAnsi="Arial" w:cs="Arial"/>
                <w:color w:val="333333"/>
                <w:sz w:val="17"/>
                <w:szCs w:val="17"/>
              </w:rPr>
              <w:t>l</w:t>
            </w:r>
            <w:r w:rsidR="00153ACA">
              <w:rPr>
                <w:rFonts w:ascii="Arial" w:hAnsi="Arial" w:cs="Arial"/>
                <w:color w:val="333333"/>
                <w:sz w:val="17"/>
                <w:szCs w:val="17"/>
              </w:rPr>
              <w:t>as</w:t>
            </w:r>
            <w:r w:rsidR="00D6288E" w:rsidRPr="00D6288E">
              <w:rPr>
                <w:rFonts w:ascii="Arial" w:hAnsi="Arial" w:cs="Arial"/>
                <w:color w:val="333333"/>
                <w:sz w:val="17"/>
                <w:szCs w:val="17"/>
              </w:rPr>
              <w:t xml:space="preserve"> </w:t>
            </w:r>
            <w:r w:rsidR="00153ACA">
              <w:rPr>
                <w:rFonts w:ascii="Arial" w:hAnsi="Arial" w:cs="Arial"/>
                <w:color w:val="333333"/>
                <w:sz w:val="17"/>
                <w:szCs w:val="17"/>
              </w:rPr>
              <w:t xml:space="preserve">caracterizaciones de los </w:t>
            </w:r>
            <w:r w:rsidR="00D6288E" w:rsidRPr="00D6288E">
              <w:rPr>
                <w:rFonts w:ascii="Arial" w:hAnsi="Arial" w:cs="Arial"/>
                <w:color w:val="333333"/>
                <w:sz w:val="17"/>
                <w:szCs w:val="17"/>
              </w:rPr>
              <w:t>procedimiento</w:t>
            </w:r>
            <w:r w:rsidR="00153ACA">
              <w:rPr>
                <w:rFonts w:ascii="Arial" w:hAnsi="Arial" w:cs="Arial"/>
                <w:color w:val="333333"/>
                <w:sz w:val="17"/>
                <w:szCs w:val="17"/>
              </w:rPr>
              <w:t>s</w:t>
            </w:r>
            <w:r w:rsidR="00D6288E" w:rsidRPr="00D6288E">
              <w:rPr>
                <w:rFonts w:ascii="Arial" w:hAnsi="Arial" w:cs="Arial"/>
                <w:color w:val="333333"/>
                <w:sz w:val="17"/>
                <w:szCs w:val="17"/>
              </w:rPr>
              <w:t xml:space="preserve"> de Registro y Control.</w:t>
            </w:r>
          </w:p>
        </w:tc>
        <w:tc>
          <w:tcPr>
            <w:tcW w:w="1856" w:type="dxa"/>
            <w:vMerge/>
            <w:vAlign w:val="center"/>
          </w:tcPr>
          <w:p w:rsidR="00296C1F" w:rsidRPr="0038653A" w:rsidRDefault="00296C1F" w:rsidP="00BC714A">
            <w:pPr>
              <w:jc w:val="center"/>
              <w:rPr>
                <w:b/>
              </w:rPr>
            </w:pPr>
          </w:p>
        </w:tc>
      </w:tr>
      <w:tr w:rsidR="001900A4" w:rsidRPr="0038653A" w:rsidTr="00BC714A">
        <w:trPr>
          <w:trHeight w:val="2394"/>
        </w:trPr>
        <w:tc>
          <w:tcPr>
            <w:tcW w:w="1950" w:type="dxa"/>
            <w:vMerge w:val="restart"/>
            <w:vAlign w:val="center"/>
          </w:tcPr>
          <w:p w:rsidR="001900A4" w:rsidRPr="0055577A" w:rsidRDefault="001900A4" w:rsidP="00BC714A">
            <w:pPr>
              <w:jc w:val="center"/>
              <w:rPr>
                <w:rFonts w:ascii="Arial" w:hAnsi="Arial" w:cs="Arial"/>
                <w:color w:val="333333"/>
                <w:sz w:val="17"/>
                <w:szCs w:val="17"/>
              </w:rPr>
            </w:pPr>
            <w:r w:rsidRPr="0055577A">
              <w:rPr>
                <w:rFonts w:ascii="Arial" w:hAnsi="Arial" w:cs="Arial"/>
                <w:color w:val="333333"/>
                <w:sz w:val="17"/>
                <w:szCs w:val="17"/>
              </w:rPr>
              <w:lastRenderedPageBreak/>
              <w:t>Almacén e Inventarios</w:t>
            </w:r>
          </w:p>
        </w:tc>
        <w:tc>
          <w:tcPr>
            <w:tcW w:w="1700" w:type="dxa"/>
            <w:vMerge w:val="restart"/>
            <w:vAlign w:val="center"/>
          </w:tcPr>
          <w:p w:rsidR="001900A4" w:rsidRPr="0055577A" w:rsidRDefault="001900A4" w:rsidP="00BC714A">
            <w:pPr>
              <w:jc w:val="center"/>
              <w:rPr>
                <w:rFonts w:ascii="Arial" w:hAnsi="Arial" w:cs="Arial"/>
                <w:color w:val="333333"/>
                <w:sz w:val="17"/>
                <w:szCs w:val="17"/>
              </w:rPr>
            </w:pPr>
            <w:r>
              <w:rPr>
                <w:rFonts w:ascii="Arial" w:hAnsi="Arial" w:cs="Arial"/>
                <w:color w:val="333333"/>
                <w:sz w:val="17"/>
                <w:szCs w:val="17"/>
              </w:rPr>
              <w:t>(</w:t>
            </w:r>
            <w:r w:rsidRPr="0055577A">
              <w:rPr>
                <w:rFonts w:ascii="Arial" w:hAnsi="Arial" w:cs="Arial"/>
                <w:color w:val="333333"/>
                <w:sz w:val="17"/>
                <w:szCs w:val="17"/>
              </w:rPr>
              <w:t>1</w:t>
            </w:r>
            <w:r>
              <w:rPr>
                <w:rFonts w:ascii="Arial" w:hAnsi="Arial" w:cs="Arial"/>
                <w:color w:val="333333"/>
                <w:sz w:val="17"/>
                <w:szCs w:val="17"/>
              </w:rPr>
              <w:t>)</w:t>
            </w:r>
            <w:r w:rsidRPr="0055577A">
              <w:rPr>
                <w:rFonts w:ascii="Arial" w:hAnsi="Arial" w:cs="Arial"/>
                <w:color w:val="333333"/>
                <w:sz w:val="17"/>
                <w:szCs w:val="17"/>
              </w:rPr>
              <w:t xml:space="preserve"> </w:t>
            </w:r>
            <w:r>
              <w:rPr>
                <w:rFonts w:ascii="Arial" w:hAnsi="Arial" w:cs="Arial"/>
                <w:color w:val="333333"/>
                <w:sz w:val="17"/>
                <w:szCs w:val="17"/>
              </w:rPr>
              <w:t>NC</w:t>
            </w:r>
            <w:r w:rsidRPr="0055577A">
              <w:rPr>
                <w:rFonts w:ascii="Arial" w:hAnsi="Arial" w:cs="Arial"/>
                <w:color w:val="333333"/>
                <w:sz w:val="17"/>
                <w:szCs w:val="17"/>
              </w:rPr>
              <w:t xml:space="preserve"> y </w:t>
            </w:r>
            <w:r>
              <w:rPr>
                <w:rFonts w:ascii="Arial" w:hAnsi="Arial" w:cs="Arial"/>
                <w:color w:val="333333"/>
                <w:sz w:val="17"/>
                <w:szCs w:val="17"/>
              </w:rPr>
              <w:t>(</w:t>
            </w:r>
            <w:r w:rsidRPr="0055577A">
              <w:rPr>
                <w:rFonts w:ascii="Arial" w:hAnsi="Arial" w:cs="Arial"/>
                <w:color w:val="333333"/>
                <w:sz w:val="17"/>
                <w:szCs w:val="17"/>
              </w:rPr>
              <w:t>4</w:t>
            </w:r>
            <w:r>
              <w:rPr>
                <w:rFonts w:ascii="Arial" w:hAnsi="Arial" w:cs="Arial"/>
                <w:color w:val="333333"/>
                <w:sz w:val="17"/>
                <w:szCs w:val="17"/>
              </w:rPr>
              <w:t>)</w:t>
            </w:r>
            <w:r w:rsidRPr="0055577A">
              <w:rPr>
                <w:rFonts w:ascii="Arial" w:hAnsi="Arial" w:cs="Arial"/>
                <w:color w:val="333333"/>
                <w:sz w:val="17"/>
                <w:szCs w:val="17"/>
              </w:rPr>
              <w:t xml:space="preserve"> </w:t>
            </w:r>
            <w:r>
              <w:rPr>
                <w:rFonts w:ascii="Arial" w:hAnsi="Arial" w:cs="Arial"/>
                <w:color w:val="333333"/>
                <w:sz w:val="17"/>
                <w:szCs w:val="17"/>
              </w:rPr>
              <w:t>OM</w:t>
            </w:r>
          </w:p>
        </w:tc>
        <w:tc>
          <w:tcPr>
            <w:tcW w:w="3958" w:type="dxa"/>
          </w:tcPr>
          <w:p w:rsidR="001900A4" w:rsidRDefault="001900A4" w:rsidP="00BC714A">
            <w:pPr>
              <w:rPr>
                <w:rFonts w:ascii="Arial" w:hAnsi="Arial" w:cs="Arial"/>
                <w:color w:val="333333"/>
                <w:sz w:val="17"/>
                <w:szCs w:val="17"/>
              </w:rPr>
            </w:pPr>
            <w:r>
              <w:rPr>
                <w:rFonts w:ascii="Arial" w:hAnsi="Arial" w:cs="Arial"/>
                <w:color w:val="333333"/>
                <w:sz w:val="17"/>
                <w:szCs w:val="17"/>
              </w:rPr>
              <w:t xml:space="preserve">1. </w:t>
            </w:r>
            <w:r w:rsidRPr="0055577A">
              <w:rPr>
                <w:rFonts w:ascii="Arial" w:hAnsi="Arial" w:cs="Arial"/>
                <w:color w:val="333333"/>
                <w:sz w:val="17"/>
                <w:szCs w:val="17"/>
              </w:rPr>
              <w:t>De</w:t>
            </w:r>
            <w:r w:rsidR="00DB659A">
              <w:rPr>
                <w:rFonts w:ascii="Arial" w:hAnsi="Arial" w:cs="Arial"/>
                <w:color w:val="333333"/>
                <w:sz w:val="17"/>
                <w:szCs w:val="17"/>
              </w:rPr>
              <w:t>bilidades</w:t>
            </w:r>
            <w:r w:rsidRPr="0055577A">
              <w:rPr>
                <w:rFonts w:ascii="Arial" w:hAnsi="Arial" w:cs="Arial"/>
                <w:color w:val="333333"/>
                <w:sz w:val="17"/>
                <w:szCs w:val="17"/>
              </w:rPr>
              <w:t xml:space="preserve"> </w:t>
            </w:r>
            <w:r>
              <w:rPr>
                <w:rFonts w:ascii="Arial" w:hAnsi="Arial" w:cs="Arial"/>
                <w:color w:val="333333"/>
                <w:sz w:val="17"/>
                <w:szCs w:val="17"/>
              </w:rPr>
              <w:t>en cuanto lo</w:t>
            </w:r>
            <w:r w:rsidRPr="0055577A">
              <w:rPr>
                <w:rFonts w:ascii="Arial" w:hAnsi="Arial" w:cs="Arial"/>
                <w:color w:val="333333"/>
                <w:sz w:val="17"/>
                <w:szCs w:val="17"/>
              </w:rPr>
              <w:t xml:space="preserve"> establecido</w:t>
            </w:r>
            <w:r>
              <w:rPr>
                <w:rFonts w:ascii="Arial" w:hAnsi="Arial" w:cs="Arial"/>
                <w:color w:val="333333"/>
                <w:sz w:val="17"/>
                <w:szCs w:val="17"/>
              </w:rPr>
              <w:t>:</w:t>
            </w:r>
            <w:r w:rsidRPr="0055577A">
              <w:rPr>
                <w:rFonts w:ascii="Arial" w:hAnsi="Arial" w:cs="Arial"/>
                <w:color w:val="333333"/>
                <w:sz w:val="17"/>
                <w:szCs w:val="17"/>
              </w:rPr>
              <w:t xml:space="preserve"> </w:t>
            </w:r>
          </w:p>
          <w:p w:rsidR="001900A4" w:rsidRPr="0055577A" w:rsidRDefault="001900A4" w:rsidP="00BC714A">
            <w:pPr>
              <w:jc w:val="both"/>
              <w:rPr>
                <w:rFonts w:ascii="Arial" w:hAnsi="Arial" w:cs="Arial"/>
                <w:color w:val="333333"/>
                <w:sz w:val="17"/>
                <w:szCs w:val="17"/>
              </w:rPr>
            </w:pPr>
            <w:r>
              <w:rPr>
                <w:rFonts w:ascii="Arial" w:hAnsi="Arial" w:cs="Arial"/>
                <w:color w:val="333333"/>
                <w:sz w:val="17"/>
                <w:szCs w:val="17"/>
              </w:rPr>
              <w:t xml:space="preserve">-En el procedimiento de Egreso de bienes de consumo del almacén. </w:t>
            </w:r>
          </w:p>
          <w:p w:rsidR="001900A4" w:rsidRPr="0055577A" w:rsidRDefault="001900A4" w:rsidP="00BC714A">
            <w:pPr>
              <w:jc w:val="both"/>
              <w:rPr>
                <w:rFonts w:ascii="Arial" w:hAnsi="Arial" w:cs="Arial"/>
                <w:color w:val="333333"/>
                <w:sz w:val="17"/>
                <w:szCs w:val="17"/>
              </w:rPr>
            </w:pPr>
            <w:r>
              <w:rPr>
                <w:rFonts w:ascii="Arial" w:hAnsi="Arial" w:cs="Arial"/>
                <w:color w:val="333333"/>
                <w:sz w:val="17"/>
                <w:szCs w:val="17"/>
              </w:rPr>
              <w:t>-En el procedimiento de  Egreso de bienes devolutivos de almacén.</w:t>
            </w:r>
          </w:p>
          <w:p w:rsidR="001900A4" w:rsidRPr="0055577A" w:rsidRDefault="001900A4" w:rsidP="00BC714A">
            <w:pPr>
              <w:jc w:val="both"/>
              <w:rPr>
                <w:rFonts w:ascii="Arial" w:hAnsi="Arial" w:cs="Arial"/>
                <w:color w:val="333333"/>
                <w:sz w:val="17"/>
                <w:szCs w:val="17"/>
              </w:rPr>
            </w:pPr>
            <w:r>
              <w:rPr>
                <w:rFonts w:ascii="Arial" w:hAnsi="Arial" w:cs="Arial"/>
                <w:color w:val="333333"/>
                <w:sz w:val="17"/>
                <w:szCs w:val="17"/>
              </w:rPr>
              <w:t>-En el procedimiento de Egreso de Bienes para dar de baja.</w:t>
            </w:r>
          </w:p>
        </w:tc>
        <w:tc>
          <w:tcPr>
            <w:tcW w:w="1856" w:type="dxa"/>
            <w:vMerge w:val="restart"/>
            <w:vAlign w:val="center"/>
          </w:tcPr>
          <w:p w:rsidR="001900A4" w:rsidRPr="0055577A" w:rsidRDefault="001900A4" w:rsidP="00BC714A">
            <w:pPr>
              <w:jc w:val="center"/>
              <w:rPr>
                <w:rFonts w:ascii="Arial" w:hAnsi="Arial" w:cs="Arial"/>
                <w:color w:val="333333"/>
                <w:sz w:val="17"/>
                <w:szCs w:val="17"/>
              </w:rPr>
            </w:pPr>
            <w:r>
              <w:rPr>
                <w:rFonts w:ascii="Arial" w:hAnsi="Arial" w:cs="Arial"/>
                <w:color w:val="333333"/>
                <w:sz w:val="17"/>
                <w:szCs w:val="17"/>
              </w:rPr>
              <w:t>Secretaría General -</w:t>
            </w:r>
            <w:r w:rsidRPr="000C05AE">
              <w:rPr>
                <w:rFonts w:ascii="Arial" w:hAnsi="Arial" w:cs="Arial"/>
                <w:color w:val="333333"/>
                <w:sz w:val="17"/>
                <w:szCs w:val="17"/>
              </w:rPr>
              <w:t>Grupo de Gestión Administrativa y Documental</w:t>
            </w:r>
          </w:p>
        </w:tc>
      </w:tr>
      <w:tr w:rsidR="00B2470C" w:rsidRPr="0038653A" w:rsidTr="00BC714A">
        <w:trPr>
          <w:trHeight w:val="409"/>
        </w:trPr>
        <w:tc>
          <w:tcPr>
            <w:tcW w:w="1950" w:type="dxa"/>
            <w:vMerge/>
            <w:vAlign w:val="center"/>
          </w:tcPr>
          <w:p w:rsidR="00B2470C" w:rsidRPr="0055577A" w:rsidRDefault="00B2470C" w:rsidP="00BC714A">
            <w:pPr>
              <w:jc w:val="center"/>
              <w:rPr>
                <w:rFonts w:ascii="Arial" w:hAnsi="Arial" w:cs="Arial"/>
                <w:color w:val="333333"/>
                <w:sz w:val="17"/>
                <w:szCs w:val="17"/>
              </w:rPr>
            </w:pPr>
          </w:p>
        </w:tc>
        <w:tc>
          <w:tcPr>
            <w:tcW w:w="1700" w:type="dxa"/>
            <w:vMerge/>
            <w:vAlign w:val="center"/>
          </w:tcPr>
          <w:p w:rsidR="00B2470C" w:rsidRDefault="00B2470C" w:rsidP="00BC714A">
            <w:pPr>
              <w:jc w:val="center"/>
              <w:rPr>
                <w:rFonts w:ascii="Arial" w:hAnsi="Arial" w:cs="Arial"/>
                <w:color w:val="333333"/>
                <w:sz w:val="17"/>
                <w:szCs w:val="17"/>
              </w:rPr>
            </w:pPr>
          </w:p>
        </w:tc>
        <w:tc>
          <w:tcPr>
            <w:tcW w:w="3958" w:type="dxa"/>
          </w:tcPr>
          <w:p w:rsidR="00B2470C" w:rsidRPr="0055577A" w:rsidRDefault="001900A4" w:rsidP="00BC714A">
            <w:pPr>
              <w:rPr>
                <w:rFonts w:ascii="Arial" w:hAnsi="Arial" w:cs="Arial"/>
                <w:color w:val="333333"/>
                <w:sz w:val="17"/>
                <w:szCs w:val="17"/>
              </w:rPr>
            </w:pPr>
            <w:r>
              <w:rPr>
                <w:rFonts w:ascii="Arial" w:hAnsi="Arial" w:cs="Arial"/>
                <w:color w:val="333333"/>
                <w:sz w:val="17"/>
                <w:szCs w:val="17"/>
              </w:rPr>
              <w:t>2</w:t>
            </w:r>
            <w:r w:rsidR="00B2470C">
              <w:rPr>
                <w:rFonts w:ascii="Arial" w:hAnsi="Arial" w:cs="Arial"/>
                <w:color w:val="333333"/>
                <w:sz w:val="17"/>
                <w:szCs w:val="17"/>
              </w:rPr>
              <w:t>. Debilidades</w:t>
            </w:r>
            <w:r w:rsidR="00B2470C" w:rsidRPr="00B2470C">
              <w:rPr>
                <w:rFonts w:ascii="Arial" w:hAnsi="Arial" w:cs="Arial"/>
                <w:color w:val="333333"/>
                <w:sz w:val="17"/>
                <w:szCs w:val="17"/>
              </w:rPr>
              <w:t xml:space="preserve"> en </w:t>
            </w:r>
            <w:r w:rsidR="00B2470C">
              <w:rPr>
                <w:rFonts w:ascii="Arial" w:hAnsi="Arial" w:cs="Arial"/>
                <w:color w:val="333333"/>
                <w:sz w:val="17"/>
                <w:szCs w:val="17"/>
              </w:rPr>
              <w:t>el diligenciamiento de boletín diario</w:t>
            </w:r>
            <w:r w:rsidR="00B2470C" w:rsidRPr="00B2470C">
              <w:rPr>
                <w:rFonts w:ascii="Arial" w:hAnsi="Arial" w:cs="Arial"/>
                <w:color w:val="333333"/>
                <w:sz w:val="17"/>
                <w:szCs w:val="17"/>
              </w:rPr>
              <w:t xml:space="preserve"> al grupo de gestión financiera</w:t>
            </w:r>
            <w:r w:rsidR="00B2470C">
              <w:rPr>
                <w:rFonts w:ascii="Arial" w:hAnsi="Arial" w:cs="Arial"/>
                <w:color w:val="333333"/>
                <w:sz w:val="17"/>
                <w:szCs w:val="17"/>
              </w:rPr>
              <w:t>.</w:t>
            </w:r>
          </w:p>
        </w:tc>
        <w:tc>
          <w:tcPr>
            <w:tcW w:w="1856" w:type="dxa"/>
            <w:vMerge/>
            <w:vAlign w:val="center"/>
          </w:tcPr>
          <w:p w:rsidR="00B2470C" w:rsidRDefault="00B2470C" w:rsidP="00BC714A">
            <w:pPr>
              <w:jc w:val="center"/>
              <w:rPr>
                <w:rFonts w:ascii="Arial" w:hAnsi="Arial" w:cs="Arial"/>
                <w:color w:val="333333"/>
                <w:sz w:val="17"/>
                <w:szCs w:val="17"/>
              </w:rPr>
            </w:pPr>
          </w:p>
        </w:tc>
      </w:tr>
      <w:tr w:rsidR="000C05AE" w:rsidRPr="0038653A" w:rsidTr="00BC714A">
        <w:trPr>
          <w:trHeight w:val="407"/>
        </w:trPr>
        <w:tc>
          <w:tcPr>
            <w:tcW w:w="1950" w:type="dxa"/>
            <w:vMerge w:val="restart"/>
            <w:vAlign w:val="center"/>
          </w:tcPr>
          <w:p w:rsidR="000C05AE" w:rsidRPr="0055577A" w:rsidRDefault="000C05AE" w:rsidP="00BC714A">
            <w:pPr>
              <w:jc w:val="center"/>
              <w:rPr>
                <w:rFonts w:ascii="Arial" w:hAnsi="Arial" w:cs="Arial"/>
                <w:color w:val="333333"/>
                <w:sz w:val="17"/>
                <w:szCs w:val="17"/>
              </w:rPr>
            </w:pPr>
            <w:r w:rsidRPr="0055577A">
              <w:rPr>
                <w:rFonts w:ascii="Arial" w:hAnsi="Arial" w:cs="Arial"/>
                <w:color w:val="333333"/>
                <w:sz w:val="17"/>
                <w:szCs w:val="17"/>
              </w:rPr>
              <w:t>Gestión Documental</w:t>
            </w:r>
          </w:p>
        </w:tc>
        <w:tc>
          <w:tcPr>
            <w:tcW w:w="1700" w:type="dxa"/>
            <w:vMerge w:val="restart"/>
            <w:vAlign w:val="center"/>
          </w:tcPr>
          <w:p w:rsidR="000C05AE" w:rsidRPr="0055577A" w:rsidRDefault="002433B9" w:rsidP="00BC714A">
            <w:pPr>
              <w:jc w:val="center"/>
              <w:rPr>
                <w:rFonts w:ascii="Arial" w:hAnsi="Arial" w:cs="Arial"/>
                <w:color w:val="333333"/>
                <w:sz w:val="17"/>
                <w:szCs w:val="17"/>
              </w:rPr>
            </w:pPr>
            <w:r>
              <w:rPr>
                <w:rFonts w:ascii="Arial" w:hAnsi="Arial" w:cs="Arial"/>
                <w:color w:val="333333"/>
                <w:sz w:val="17"/>
                <w:szCs w:val="17"/>
              </w:rPr>
              <w:t>(</w:t>
            </w:r>
            <w:r w:rsidR="000C05AE" w:rsidRPr="0055577A">
              <w:rPr>
                <w:rFonts w:ascii="Arial" w:hAnsi="Arial" w:cs="Arial"/>
                <w:color w:val="333333"/>
                <w:sz w:val="17"/>
                <w:szCs w:val="17"/>
              </w:rPr>
              <w:t>2</w:t>
            </w:r>
            <w:r>
              <w:rPr>
                <w:rFonts w:ascii="Arial" w:hAnsi="Arial" w:cs="Arial"/>
                <w:color w:val="333333"/>
                <w:sz w:val="17"/>
                <w:szCs w:val="17"/>
              </w:rPr>
              <w:t>)</w:t>
            </w:r>
            <w:r w:rsidR="000C05AE">
              <w:rPr>
                <w:rFonts w:ascii="Arial" w:hAnsi="Arial" w:cs="Arial"/>
                <w:color w:val="333333"/>
                <w:sz w:val="17"/>
                <w:szCs w:val="17"/>
              </w:rPr>
              <w:t xml:space="preserve"> N</w:t>
            </w:r>
            <w:r>
              <w:rPr>
                <w:rFonts w:ascii="Arial" w:hAnsi="Arial" w:cs="Arial"/>
                <w:color w:val="333333"/>
                <w:sz w:val="17"/>
                <w:szCs w:val="17"/>
              </w:rPr>
              <w:t>C</w:t>
            </w:r>
            <w:r w:rsidR="000C05AE">
              <w:rPr>
                <w:rFonts w:ascii="Arial" w:hAnsi="Arial" w:cs="Arial"/>
                <w:color w:val="333333"/>
                <w:sz w:val="17"/>
                <w:szCs w:val="17"/>
              </w:rPr>
              <w:t xml:space="preserve"> y </w:t>
            </w:r>
            <w:r>
              <w:rPr>
                <w:rFonts w:ascii="Arial" w:hAnsi="Arial" w:cs="Arial"/>
                <w:color w:val="333333"/>
                <w:sz w:val="17"/>
                <w:szCs w:val="17"/>
              </w:rPr>
              <w:t>(</w:t>
            </w:r>
            <w:r w:rsidR="000C05AE">
              <w:rPr>
                <w:rFonts w:ascii="Arial" w:hAnsi="Arial" w:cs="Arial"/>
                <w:color w:val="333333"/>
                <w:sz w:val="17"/>
                <w:szCs w:val="17"/>
              </w:rPr>
              <w:t>1</w:t>
            </w:r>
            <w:r>
              <w:rPr>
                <w:rFonts w:ascii="Arial" w:hAnsi="Arial" w:cs="Arial"/>
                <w:color w:val="333333"/>
                <w:sz w:val="17"/>
                <w:szCs w:val="17"/>
              </w:rPr>
              <w:t>) OM</w:t>
            </w:r>
          </w:p>
        </w:tc>
        <w:tc>
          <w:tcPr>
            <w:tcW w:w="3958" w:type="dxa"/>
          </w:tcPr>
          <w:p w:rsidR="000C05AE" w:rsidRPr="0055577A" w:rsidRDefault="001900A4" w:rsidP="00BC714A">
            <w:pPr>
              <w:jc w:val="both"/>
              <w:rPr>
                <w:rFonts w:ascii="Arial" w:hAnsi="Arial" w:cs="Arial"/>
                <w:color w:val="333333"/>
                <w:sz w:val="17"/>
                <w:szCs w:val="17"/>
              </w:rPr>
            </w:pPr>
            <w:r>
              <w:rPr>
                <w:rFonts w:ascii="Arial" w:hAnsi="Arial" w:cs="Arial"/>
                <w:color w:val="333333"/>
                <w:sz w:val="17"/>
                <w:szCs w:val="17"/>
              </w:rPr>
              <w:t>1. Debilidades</w:t>
            </w:r>
            <w:r w:rsidR="000C05AE">
              <w:rPr>
                <w:rFonts w:ascii="Arial" w:hAnsi="Arial" w:cs="Arial"/>
                <w:color w:val="333333"/>
                <w:sz w:val="17"/>
                <w:szCs w:val="17"/>
              </w:rPr>
              <w:t xml:space="preserve"> a lo establecido en el procedimiento Administración y circulación para el préstamo de archivos.</w:t>
            </w:r>
          </w:p>
        </w:tc>
        <w:tc>
          <w:tcPr>
            <w:tcW w:w="1856" w:type="dxa"/>
            <w:vMerge w:val="restart"/>
            <w:vAlign w:val="center"/>
          </w:tcPr>
          <w:p w:rsidR="000C05AE" w:rsidRPr="0055577A" w:rsidRDefault="000C05AE" w:rsidP="00BC714A">
            <w:pPr>
              <w:jc w:val="center"/>
              <w:rPr>
                <w:rFonts w:ascii="Arial" w:hAnsi="Arial" w:cs="Arial"/>
                <w:color w:val="333333"/>
                <w:sz w:val="17"/>
                <w:szCs w:val="17"/>
              </w:rPr>
            </w:pPr>
            <w:r w:rsidRPr="0055577A">
              <w:rPr>
                <w:rFonts w:ascii="Arial" w:hAnsi="Arial" w:cs="Arial"/>
                <w:color w:val="333333"/>
                <w:sz w:val="17"/>
                <w:szCs w:val="17"/>
              </w:rPr>
              <w:t>Secretaría General - Grupo de Gestión Administrativa y Documental</w:t>
            </w:r>
          </w:p>
        </w:tc>
      </w:tr>
      <w:tr w:rsidR="000C05AE" w:rsidRPr="0038653A" w:rsidTr="00BC714A">
        <w:trPr>
          <w:trHeight w:val="216"/>
        </w:trPr>
        <w:tc>
          <w:tcPr>
            <w:tcW w:w="1950" w:type="dxa"/>
            <w:vMerge/>
            <w:vAlign w:val="center"/>
          </w:tcPr>
          <w:p w:rsidR="000C05AE" w:rsidRPr="0055577A" w:rsidRDefault="000C05AE" w:rsidP="00BC714A">
            <w:pPr>
              <w:jc w:val="center"/>
              <w:rPr>
                <w:rFonts w:ascii="Arial" w:hAnsi="Arial" w:cs="Arial"/>
                <w:color w:val="333333"/>
                <w:sz w:val="17"/>
                <w:szCs w:val="17"/>
              </w:rPr>
            </w:pPr>
          </w:p>
        </w:tc>
        <w:tc>
          <w:tcPr>
            <w:tcW w:w="1700" w:type="dxa"/>
            <w:vMerge/>
            <w:vAlign w:val="center"/>
          </w:tcPr>
          <w:p w:rsidR="000C05AE" w:rsidRPr="0055577A" w:rsidRDefault="000C05AE" w:rsidP="00BC714A">
            <w:pPr>
              <w:jc w:val="center"/>
              <w:rPr>
                <w:rFonts w:ascii="Arial" w:hAnsi="Arial" w:cs="Arial"/>
                <w:color w:val="333333"/>
                <w:sz w:val="17"/>
                <w:szCs w:val="17"/>
              </w:rPr>
            </w:pPr>
          </w:p>
        </w:tc>
        <w:tc>
          <w:tcPr>
            <w:tcW w:w="3958" w:type="dxa"/>
          </w:tcPr>
          <w:p w:rsidR="000C05AE" w:rsidRPr="0055577A" w:rsidRDefault="000C05AE" w:rsidP="00BC714A">
            <w:pPr>
              <w:rPr>
                <w:rFonts w:ascii="Arial" w:hAnsi="Arial" w:cs="Arial"/>
                <w:color w:val="333333"/>
                <w:sz w:val="17"/>
                <w:szCs w:val="17"/>
              </w:rPr>
            </w:pPr>
            <w:r>
              <w:rPr>
                <w:rFonts w:ascii="Arial" w:hAnsi="Arial" w:cs="Arial"/>
                <w:color w:val="333333"/>
                <w:sz w:val="17"/>
                <w:szCs w:val="17"/>
              </w:rPr>
              <w:t>2. Manual de archivo y correspondencia desactualizado.</w:t>
            </w:r>
          </w:p>
        </w:tc>
        <w:tc>
          <w:tcPr>
            <w:tcW w:w="1856" w:type="dxa"/>
            <w:vMerge/>
            <w:vAlign w:val="center"/>
          </w:tcPr>
          <w:p w:rsidR="000C05AE" w:rsidRPr="0055577A" w:rsidRDefault="000C05AE" w:rsidP="00BC714A">
            <w:pPr>
              <w:jc w:val="center"/>
              <w:rPr>
                <w:rFonts w:ascii="Arial" w:hAnsi="Arial" w:cs="Arial"/>
                <w:color w:val="333333"/>
                <w:sz w:val="17"/>
                <w:szCs w:val="17"/>
              </w:rPr>
            </w:pPr>
          </w:p>
        </w:tc>
      </w:tr>
      <w:tr w:rsidR="000C05AE" w:rsidRPr="0038653A" w:rsidTr="00BC714A">
        <w:trPr>
          <w:trHeight w:val="216"/>
        </w:trPr>
        <w:tc>
          <w:tcPr>
            <w:tcW w:w="1950" w:type="dxa"/>
            <w:vMerge/>
            <w:vAlign w:val="center"/>
          </w:tcPr>
          <w:p w:rsidR="000C05AE" w:rsidRPr="0055577A" w:rsidRDefault="000C05AE" w:rsidP="00BC714A">
            <w:pPr>
              <w:jc w:val="center"/>
              <w:rPr>
                <w:rFonts w:ascii="Arial" w:hAnsi="Arial" w:cs="Arial"/>
                <w:color w:val="333333"/>
                <w:sz w:val="17"/>
                <w:szCs w:val="17"/>
              </w:rPr>
            </w:pPr>
          </w:p>
        </w:tc>
        <w:tc>
          <w:tcPr>
            <w:tcW w:w="1700" w:type="dxa"/>
            <w:vMerge/>
            <w:vAlign w:val="center"/>
          </w:tcPr>
          <w:p w:rsidR="000C05AE" w:rsidRPr="0055577A" w:rsidRDefault="000C05AE" w:rsidP="00BC714A">
            <w:pPr>
              <w:jc w:val="center"/>
              <w:rPr>
                <w:rFonts w:ascii="Arial" w:hAnsi="Arial" w:cs="Arial"/>
                <w:color w:val="333333"/>
                <w:sz w:val="17"/>
                <w:szCs w:val="17"/>
              </w:rPr>
            </w:pPr>
          </w:p>
        </w:tc>
        <w:tc>
          <w:tcPr>
            <w:tcW w:w="3958" w:type="dxa"/>
          </w:tcPr>
          <w:p w:rsidR="000C05AE" w:rsidRDefault="000C05AE" w:rsidP="00BC714A">
            <w:pPr>
              <w:rPr>
                <w:rFonts w:ascii="Arial" w:hAnsi="Arial" w:cs="Arial"/>
                <w:color w:val="333333"/>
                <w:sz w:val="17"/>
                <w:szCs w:val="17"/>
              </w:rPr>
            </w:pPr>
            <w:r>
              <w:rPr>
                <w:rFonts w:ascii="Arial" w:hAnsi="Arial" w:cs="Arial"/>
                <w:color w:val="333333"/>
                <w:sz w:val="17"/>
                <w:szCs w:val="17"/>
              </w:rPr>
              <w:t>3. No se ha dado cumplimiento a cabalidad con el plan de mejoramiento suscrito con el Archivo General de la Nación.</w:t>
            </w:r>
          </w:p>
        </w:tc>
        <w:tc>
          <w:tcPr>
            <w:tcW w:w="1856" w:type="dxa"/>
            <w:vMerge/>
            <w:vAlign w:val="center"/>
          </w:tcPr>
          <w:p w:rsidR="000C05AE" w:rsidRPr="0055577A" w:rsidRDefault="000C05AE" w:rsidP="00BC714A">
            <w:pPr>
              <w:jc w:val="center"/>
              <w:rPr>
                <w:rFonts w:ascii="Arial" w:hAnsi="Arial" w:cs="Arial"/>
                <w:color w:val="333333"/>
                <w:sz w:val="17"/>
                <w:szCs w:val="17"/>
              </w:rPr>
            </w:pPr>
          </w:p>
        </w:tc>
      </w:tr>
      <w:tr w:rsidR="00296C1F" w:rsidRPr="0038653A" w:rsidTr="00BC714A">
        <w:trPr>
          <w:trHeight w:val="300"/>
        </w:trPr>
        <w:tc>
          <w:tcPr>
            <w:tcW w:w="1950" w:type="dxa"/>
            <w:vMerge w:val="restart"/>
            <w:vAlign w:val="center"/>
          </w:tcPr>
          <w:p w:rsidR="00296C1F" w:rsidRPr="0055577A" w:rsidRDefault="000C05AE" w:rsidP="00BC714A">
            <w:pPr>
              <w:jc w:val="center"/>
              <w:rPr>
                <w:rFonts w:ascii="Arial" w:hAnsi="Arial" w:cs="Arial"/>
                <w:color w:val="333333"/>
                <w:sz w:val="17"/>
                <w:szCs w:val="17"/>
              </w:rPr>
            </w:pPr>
            <w:r w:rsidRPr="000C05AE">
              <w:rPr>
                <w:rFonts w:ascii="Arial" w:hAnsi="Arial" w:cs="Arial"/>
                <w:color w:val="333333"/>
                <w:sz w:val="17"/>
                <w:szCs w:val="17"/>
              </w:rPr>
              <w:t>Evaluación de Gestión de Cajas de Compensación Familiar</w:t>
            </w:r>
          </w:p>
        </w:tc>
        <w:tc>
          <w:tcPr>
            <w:tcW w:w="1700" w:type="dxa"/>
            <w:vMerge w:val="restart"/>
            <w:vAlign w:val="center"/>
          </w:tcPr>
          <w:p w:rsidR="00296C1F" w:rsidRPr="0055577A" w:rsidRDefault="002433B9" w:rsidP="00BC714A">
            <w:pPr>
              <w:jc w:val="center"/>
              <w:rPr>
                <w:rFonts w:ascii="Arial" w:hAnsi="Arial" w:cs="Arial"/>
                <w:color w:val="333333"/>
                <w:sz w:val="17"/>
                <w:szCs w:val="17"/>
              </w:rPr>
            </w:pPr>
            <w:r>
              <w:rPr>
                <w:rFonts w:ascii="Arial" w:hAnsi="Arial" w:cs="Arial"/>
                <w:color w:val="333333"/>
                <w:sz w:val="17"/>
                <w:szCs w:val="17"/>
              </w:rPr>
              <w:t>(</w:t>
            </w:r>
            <w:r w:rsidR="000C05AE">
              <w:rPr>
                <w:rFonts w:ascii="Arial" w:hAnsi="Arial" w:cs="Arial"/>
                <w:color w:val="333333"/>
                <w:sz w:val="17"/>
                <w:szCs w:val="17"/>
              </w:rPr>
              <w:t>3</w:t>
            </w:r>
            <w:r>
              <w:rPr>
                <w:rFonts w:ascii="Arial" w:hAnsi="Arial" w:cs="Arial"/>
                <w:color w:val="333333"/>
                <w:sz w:val="17"/>
                <w:szCs w:val="17"/>
              </w:rPr>
              <w:t>)</w:t>
            </w:r>
            <w:r w:rsidR="000C05AE">
              <w:rPr>
                <w:rFonts w:ascii="Arial" w:hAnsi="Arial" w:cs="Arial"/>
                <w:color w:val="333333"/>
                <w:sz w:val="17"/>
                <w:szCs w:val="17"/>
              </w:rPr>
              <w:t xml:space="preserve"> </w:t>
            </w:r>
            <w:r>
              <w:rPr>
                <w:rFonts w:ascii="Arial" w:hAnsi="Arial" w:cs="Arial"/>
                <w:color w:val="333333"/>
                <w:sz w:val="17"/>
                <w:szCs w:val="17"/>
              </w:rPr>
              <w:t>OM</w:t>
            </w:r>
          </w:p>
        </w:tc>
        <w:tc>
          <w:tcPr>
            <w:tcW w:w="3958" w:type="dxa"/>
          </w:tcPr>
          <w:p w:rsidR="00296C1F" w:rsidRPr="0055577A" w:rsidRDefault="000A3965" w:rsidP="00BC714A">
            <w:pPr>
              <w:rPr>
                <w:rFonts w:ascii="Arial" w:hAnsi="Arial" w:cs="Arial"/>
                <w:color w:val="333333"/>
                <w:sz w:val="17"/>
                <w:szCs w:val="17"/>
              </w:rPr>
            </w:pPr>
            <w:r w:rsidRPr="0055577A">
              <w:rPr>
                <w:rFonts w:ascii="Arial" w:hAnsi="Arial" w:cs="Arial"/>
                <w:color w:val="333333"/>
                <w:sz w:val="17"/>
                <w:szCs w:val="17"/>
              </w:rPr>
              <w:t>1.</w:t>
            </w:r>
            <w:r>
              <w:rPr>
                <w:rFonts w:ascii="Arial" w:hAnsi="Arial" w:cs="Arial"/>
                <w:color w:val="333333"/>
                <w:sz w:val="17"/>
                <w:szCs w:val="17"/>
              </w:rPr>
              <w:t xml:space="preserve"> Deficiencias</w:t>
            </w:r>
            <w:r w:rsidR="006A332E">
              <w:rPr>
                <w:rFonts w:ascii="Arial" w:hAnsi="Arial" w:cs="Arial"/>
                <w:color w:val="333333"/>
                <w:sz w:val="17"/>
                <w:szCs w:val="17"/>
              </w:rPr>
              <w:t xml:space="preserve"> en la foliación y organización de </w:t>
            </w:r>
            <w:r w:rsidR="00A757AB">
              <w:rPr>
                <w:rFonts w:ascii="Arial" w:hAnsi="Arial" w:cs="Arial"/>
                <w:color w:val="333333"/>
                <w:sz w:val="17"/>
                <w:szCs w:val="17"/>
              </w:rPr>
              <w:t>archivo.</w:t>
            </w:r>
          </w:p>
        </w:tc>
        <w:tc>
          <w:tcPr>
            <w:tcW w:w="1856" w:type="dxa"/>
            <w:vMerge w:val="restart"/>
            <w:vAlign w:val="center"/>
          </w:tcPr>
          <w:p w:rsidR="00296C1F" w:rsidRPr="0055577A" w:rsidRDefault="000C05AE" w:rsidP="00BC714A">
            <w:pPr>
              <w:jc w:val="center"/>
              <w:rPr>
                <w:rFonts w:ascii="Arial" w:hAnsi="Arial" w:cs="Arial"/>
                <w:color w:val="333333"/>
                <w:sz w:val="17"/>
                <w:szCs w:val="17"/>
              </w:rPr>
            </w:pPr>
            <w:r w:rsidRPr="000C05AE">
              <w:rPr>
                <w:rFonts w:ascii="Arial" w:hAnsi="Arial" w:cs="Arial"/>
                <w:color w:val="333333"/>
                <w:sz w:val="17"/>
                <w:szCs w:val="17"/>
              </w:rPr>
              <w:t>Delegada para la Gestión - Dirección para la Gestión de las Cajas de Compensación Familiar</w:t>
            </w:r>
          </w:p>
        </w:tc>
      </w:tr>
      <w:tr w:rsidR="00296C1F" w:rsidRPr="0038653A" w:rsidTr="00BC714A">
        <w:trPr>
          <w:trHeight w:val="300"/>
        </w:trPr>
        <w:tc>
          <w:tcPr>
            <w:tcW w:w="1950" w:type="dxa"/>
            <w:vMerge/>
            <w:vAlign w:val="center"/>
          </w:tcPr>
          <w:p w:rsidR="00296C1F" w:rsidRPr="0038653A" w:rsidRDefault="00296C1F" w:rsidP="00BC714A">
            <w:pPr>
              <w:jc w:val="center"/>
              <w:rPr>
                <w:b/>
              </w:rPr>
            </w:pPr>
          </w:p>
        </w:tc>
        <w:tc>
          <w:tcPr>
            <w:tcW w:w="1700" w:type="dxa"/>
            <w:vMerge/>
            <w:vAlign w:val="center"/>
          </w:tcPr>
          <w:p w:rsidR="00296C1F" w:rsidRPr="0038653A" w:rsidRDefault="00296C1F" w:rsidP="00BC714A">
            <w:pPr>
              <w:jc w:val="center"/>
              <w:rPr>
                <w:b/>
              </w:rPr>
            </w:pPr>
          </w:p>
        </w:tc>
        <w:tc>
          <w:tcPr>
            <w:tcW w:w="3958" w:type="dxa"/>
          </w:tcPr>
          <w:p w:rsidR="00296C1F" w:rsidRPr="0055577A" w:rsidRDefault="0028781D" w:rsidP="00BC714A">
            <w:pPr>
              <w:tabs>
                <w:tab w:val="left" w:pos="178"/>
              </w:tabs>
              <w:jc w:val="both"/>
              <w:rPr>
                <w:rFonts w:ascii="Arial" w:hAnsi="Arial" w:cs="Arial"/>
                <w:color w:val="333333"/>
                <w:sz w:val="17"/>
                <w:szCs w:val="17"/>
              </w:rPr>
            </w:pPr>
            <w:r>
              <w:rPr>
                <w:rFonts w:ascii="Arial" w:hAnsi="Arial" w:cs="Arial"/>
                <w:color w:val="333333"/>
                <w:sz w:val="17"/>
                <w:szCs w:val="17"/>
              </w:rPr>
              <w:t>2.Debilidad</w:t>
            </w:r>
            <w:r w:rsidR="004C639E">
              <w:rPr>
                <w:rFonts w:ascii="Arial" w:hAnsi="Arial" w:cs="Arial"/>
                <w:color w:val="333333"/>
                <w:sz w:val="17"/>
                <w:szCs w:val="17"/>
              </w:rPr>
              <w:t xml:space="preserve"> en la caracterización del procedimiento seguimiento y control a los proyectos de inversión.</w:t>
            </w:r>
          </w:p>
        </w:tc>
        <w:tc>
          <w:tcPr>
            <w:tcW w:w="1856" w:type="dxa"/>
            <w:vMerge/>
            <w:vAlign w:val="center"/>
          </w:tcPr>
          <w:p w:rsidR="00296C1F" w:rsidRPr="0038653A" w:rsidRDefault="00296C1F" w:rsidP="00BC714A">
            <w:pPr>
              <w:jc w:val="center"/>
              <w:rPr>
                <w:b/>
              </w:rPr>
            </w:pPr>
          </w:p>
        </w:tc>
      </w:tr>
      <w:tr w:rsidR="00296C1F" w:rsidRPr="0038653A" w:rsidTr="00BC714A">
        <w:trPr>
          <w:trHeight w:val="300"/>
        </w:trPr>
        <w:tc>
          <w:tcPr>
            <w:tcW w:w="1950" w:type="dxa"/>
            <w:vMerge/>
            <w:vAlign w:val="center"/>
          </w:tcPr>
          <w:p w:rsidR="00296C1F" w:rsidRPr="0038653A" w:rsidRDefault="00296C1F" w:rsidP="00BC714A">
            <w:pPr>
              <w:jc w:val="center"/>
              <w:rPr>
                <w:b/>
              </w:rPr>
            </w:pPr>
          </w:p>
        </w:tc>
        <w:tc>
          <w:tcPr>
            <w:tcW w:w="1700" w:type="dxa"/>
            <w:vMerge/>
            <w:vAlign w:val="center"/>
          </w:tcPr>
          <w:p w:rsidR="00296C1F" w:rsidRPr="0038653A" w:rsidRDefault="00296C1F" w:rsidP="00BC714A">
            <w:pPr>
              <w:jc w:val="center"/>
              <w:rPr>
                <w:b/>
              </w:rPr>
            </w:pPr>
          </w:p>
        </w:tc>
        <w:tc>
          <w:tcPr>
            <w:tcW w:w="3958" w:type="dxa"/>
          </w:tcPr>
          <w:p w:rsidR="00296C1F" w:rsidRPr="0055577A" w:rsidRDefault="000A3965" w:rsidP="00BC714A">
            <w:pPr>
              <w:rPr>
                <w:rFonts w:ascii="Arial" w:hAnsi="Arial" w:cs="Arial"/>
                <w:color w:val="333333"/>
                <w:sz w:val="17"/>
                <w:szCs w:val="17"/>
              </w:rPr>
            </w:pPr>
            <w:r>
              <w:rPr>
                <w:rFonts w:ascii="Arial" w:hAnsi="Arial" w:cs="Arial"/>
                <w:color w:val="333333"/>
                <w:sz w:val="17"/>
                <w:szCs w:val="17"/>
              </w:rPr>
              <w:t>3. Debilidad</w:t>
            </w:r>
            <w:r w:rsidR="004C639E">
              <w:rPr>
                <w:rFonts w:ascii="Arial" w:hAnsi="Arial" w:cs="Arial"/>
                <w:color w:val="333333"/>
                <w:sz w:val="17"/>
                <w:szCs w:val="17"/>
              </w:rPr>
              <w:t xml:space="preserve"> en la gestión de cobro persuasivo en el procedimiento </w:t>
            </w:r>
            <w:r w:rsidR="0028781D">
              <w:rPr>
                <w:rFonts w:ascii="Arial" w:hAnsi="Arial" w:cs="Arial"/>
                <w:color w:val="333333"/>
                <w:sz w:val="17"/>
                <w:szCs w:val="17"/>
              </w:rPr>
              <w:t xml:space="preserve"> de empleadores morosos.</w:t>
            </w:r>
          </w:p>
        </w:tc>
        <w:tc>
          <w:tcPr>
            <w:tcW w:w="1856" w:type="dxa"/>
            <w:vMerge/>
            <w:vAlign w:val="center"/>
          </w:tcPr>
          <w:p w:rsidR="00296C1F" w:rsidRPr="0038653A" w:rsidRDefault="00296C1F" w:rsidP="00BC714A">
            <w:pPr>
              <w:jc w:val="center"/>
              <w:rPr>
                <w:b/>
              </w:rPr>
            </w:pPr>
          </w:p>
        </w:tc>
      </w:tr>
    </w:tbl>
    <w:p w:rsidR="00296C1F" w:rsidRPr="000C05AE" w:rsidRDefault="00296C1F" w:rsidP="00296C1F">
      <w:pPr>
        <w:tabs>
          <w:tab w:val="left" w:pos="142"/>
        </w:tabs>
        <w:autoSpaceDE w:val="0"/>
        <w:autoSpaceDN w:val="0"/>
        <w:adjustRightInd w:val="0"/>
        <w:spacing w:after="0" w:line="240" w:lineRule="auto"/>
        <w:ind w:left="502"/>
        <w:contextualSpacing/>
        <w:jc w:val="center"/>
        <w:rPr>
          <w:rFonts w:ascii="Arial" w:eastAsiaTheme="minorEastAsia" w:hAnsi="Arial" w:cs="Arial"/>
          <w:b/>
          <w:color w:val="333333"/>
          <w:sz w:val="17"/>
          <w:szCs w:val="17"/>
        </w:rPr>
      </w:pPr>
      <w:r w:rsidRPr="000C05AE">
        <w:rPr>
          <w:rFonts w:ascii="Arial" w:eastAsiaTheme="minorEastAsia" w:hAnsi="Arial" w:cs="Arial"/>
          <w:b/>
          <w:color w:val="333333"/>
          <w:sz w:val="17"/>
          <w:szCs w:val="17"/>
        </w:rPr>
        <w:t>Tabla 2.Consolidado de temas de l</w:t>
      </w:r>
      <w:r w:rsidR="00F96C21">
        <w:rPr>
          <w:rFonts w:ascii="Arial" w:eastAsiaTheme="minorEastAsia" w:hAnsi="Arial" w:cs="Arial"/>
          <w:b/>
          <w:color w:val="333333"/>
          <w:sz w:val="17"/>
          <w:szCs w:val="17"/>
        </w:rPr>
        <w:t xml:space="preserve">as no conformidades </w:t>
      </w:r>
      <w:r w:rsidR="002433B9">
        <w:rPr>
          <w:rFonts w:ascii="Arial" w:eastAsiaTheme="minorEastAsia" w:hAnsi="Arial" w:cs="Arial"/>
          <w:b/>
          <w:color w:val="333333"/>
          <w:sz w:val="17"/>
          <w:szCs w:val="17"/>
        </w:rPr>
        <w:t>y o</w:t>
      </w:r>
      <w:r w:rsidRPr="000C05AE">
        <w:rPr>
          <w:rFonts w:ascii="Arial" w:eastAsiaTheme="minorEastAsia" w:hAnsi="Arial" w:cs="Arial"/>
          <w:b/>
          <w:color w:val="333333"/>
          <w:sz w:val="17"/>
          <w:szCs w:val="17"/>
        </w:rPr>
        <w:t>portunidades de mejora por Proceso</w:t>
      </w:r>
    </w:p>
    <w:p w:rsidR="00296C1F" w:rsidRDefault="00296C1F" w:rsidP="00296C1F">
      <w:pPr>
        <w:rPr>
          <w:rFonts w:ascii="Arial" w:eastAsia="Times New Roman" w:hAnsi="Arial" w:cs="Arial"/>
          <w:b/>
          <w:sz w:val="24"/>
          <w:szCs w:val="24"/>
          <w:u w:val="single"/>
          <w:lang w:eastAsia="es-ES"/>
        </w:rPr>
      </w:pPr>
    </w:p>
    <w:p w:rsidR="0088540C" w:rsidRDefault="0088540C" w:rsidP="00296C1F">
      <w:pPr>
        <w:rPr>
          <w:rFonts w:ascii="Arial" w:eastAsia="Times New Roman" w:hAnsi="Arial" w:cs="Arial"/>
          <w:b/>
          <w:sz w:val="24"/>
          <w:szCs w:val="24"/>
          <w:u w:val="single"/>
          <w:lang w:eastAsia="es-ES"/>
        </w:rPr>
      </w:pPr>
    </w:p>
    <w:p w:rsidR="00296C1F" w:rsidRPr="009E05F6" w:rsidRDefault="00BC714A" w:rsidP="00296C1F">
      <w:pPr>
        <w:tabs>
          <w:tab w:val="left" w:pos="142"/>
        </w:tabs>
        <w:autoSpaceDE w:val="0"/>
        <w:autoSpaceDN w:val="0"/>
        <w:adjustRightInd w:val="0"/>
        <w:spacing w:after="0" w:line="240" w:lineRule="auto"/>
        <w:ind w:left="567"/>
        <w:contextualSpacing/>
        <w:jc w:val="both"/>
        <w:rPr>
          <w:rFonts w:ascii="Arial" w:hAnsi="Arial" w:cs="Arial"/>
          <w:b/>
          <w:bCs/>
          <w:sz w:val="24"/>
          <w:szCs w:val="24"/>
          <w:lang w:val="es-CO"/>
        </w:rPr>
      </w:pPr>
      <w:r>
        <w:rPr>
          <w:rFonts w:ascii="Arial" w:hAnsi="Arial" w:cs="Arial"/>
          <w:b/>
          <w:bCs/>
          <w:sz w:val="24"/>
          <w:szCs w:val="24"/>
        </w:rPr>
        <w:t>4.4</w:t>
      </w:r>
      <w:r w:rsidR="00296C1F" w:rsidRPr="009E05F6">
        <w:rPr>
          <w:rFonts w:ascii="Arial" w:hAnsi="Arial" w:cs="Arial"/>
          <w:b/>
          <w:bCs/>
          <w:sz w:val="24"/>
          <w:szCs w:val="24"/>
        </w:rPr>
        <w:t xml:space="preserve">. </w:t>
      </w:r>
      <w:r w:rsidR="00296C1F" w:rsidRPr="009E05F6">
        <w:rPr>
          <w:rFonts w:ascii="Arial" w:hAnsi="Arial" w:cs="Arial"/>
          <w:b/>
          <w:bCs/>
          <w:sz w:val="24"/>
          <w:szCs w:val="24"/>
          <w:lang w:val="es-CO"/>
        </w:rPr>
        <w:t>RESULTADO COMPARATIVO CON LAS AUDITORIAS RE</w:t>
      </w:r>
      <w:r w:rsidR="00141194">
        <w:rPr>
          <w:rFonts w:ascii="Arial" w:hAnsi="Arial" w:cs="Arial"/>
          <w:b/>
          <w:bCs/>
          <w:sz w:val="24"/>
          <w:szCs w:val="24"/>
          <w:lang w:val="es-CO"/>
        </w:rPr>
        <w:t>ALIZADAS EN LA VIGENCIA DEL 2014</w:t>
      </w:r>
    </w:p>
    <w:p w:rsidR="00296C1F" w:rsidRDefault="00296C1F" w:rsidP="00296C1F">
      <w:pPr>
        <w:tabs>
          <w:tab w:val="left" w:pos="142"/>
        </w:tabs>
        <w:autoSpaceDE w:val="0"/>
        <w:autoSpaceDN w:val="0"/>
        <w:adjustRightInd w:val="0"/>
        <w:spacing w:after="0" w:line="240" w:lineRule="auto"/>
        <w:ind w:left="502"/>
        <w:contextualSpacing/>
        <w:jc w:val="both"/>
        <w:rPr>
          <w:rFonts w:ascii="Arial" w:hAnsi="Arial" w:cs="Arial"/>
          <w:b/>
          <w:bCs/>
          <w:sz w:val="24"/>
          <w:szCs w:val="24"/>
          <w:lang w:val="es-CO"/>
        </w:rPr>
      </w:pPr>
    </w:p>
    <w:p w:rsidR="00BC714A" w:rsidRPr="009E05F6" w:rsidRDefault="00BC714A" w:rsidP="00296C1F">
      <w:pPr>
        <w:tabs>
          <w:tab w:val="left" w:pos="142"/>
        </w:tabs>
        <w:autoSpaceDE w:val="0"/>
        <w:autoSpaceDN w:val="0"/>
        <w:adjustRightInd w:val="0"/>
        <w:spacing w:after="0" w:line="240" w:lineRule="auto"/>
        <w:ind w:left="502"/>
        <w:contextualSpacing/>
        <w:jc w:val="both"/>
        <w:rPr>
          <w:rFonts w:ascii="Arial" w:hAnsi="Arial" w:cs="Arial"/>
          <w:b/>
          <w:bCs/>
          <w:sz w:val="24"/>
          <w:szCs w:val="24"/>
          <w:lang w:val="es-CO"/>
        </w:rPr>
      </w:pPr>
    </w:p>
    <w:p w:rsidR="00296C1F" w:rsidRDefault="00296C1F" w:rsidP="00296C1F">
      <w:pPr>
        <w:ind w:left="567"/>
        <w:jc w:val="both"/>
        <w:rPr>
          <w:rFonts w:ascii="Arial" w:eastAsia="Times New Roman" w:hAnsi="Arial" w:cs="Arial"/>
          <w:sz w:val="24"/>
          <w:szCs w:val="24"/>
          <w:lang w:val="es-CO" w:eastAsia="es-ES"/>
        </w:rPr>
      </w:pPr>
      <w:r w:rsidRPr="009E05F6">
        <w:rPr>
          <w:rFonts w:ascii="Arial" w:eastAsia="Times New Roman" w:hAnsi="Arial" w:cs="Arial"/>
          <w:sz w:val="24"/>
          <w:szCs w:val="24"/>
          <w:lang w:val="es-CO" w:eastAsia="es-ES"/>
        </w:rPr>
        <w:t>Con respecto a los procesos auditados en el año 201</w:t>
      </w:r>
      <w:r w:rsidR="002E7F6B">
        <w:rPr>
          <w:rFonts w:ascii="Arial" w:eastAsia="Times New Roman" w:hAnsi="Arial" w:cs="Arial"/>
          <w:sz w:val="24"/>
          <w:szCs w:val="24"/>
          <w:lang w:val="es-CO" w:eastAsia="es-ES"/>
        </w:rPr>
        <w:t>4</w:t>
      </w:r>
      <w:r w:rsidRPr="009E05F6">
        <w:rPr>
          <w:rFonts w:ascii="Arial" w:eastAsia="Times New Roman" w:hAnsi="Arial" w:cs="Arial"/>
          <w:sz w:val="24"/>
          <w:szCs w:val="24"/>
          <w:lang w:val="es-CO" w:eastAsia="es-ES"/>
        </w:rPr>
        <w:t xml:space="preserve"> y que fueron auditados en el </w:t>
      </w:r>
      <w:r w:rsidR="002E7F6B">
        <w:rPr>
          <w:rFonts w:ascii="Arial" w:eastAsia="Times New Roman" w:hAnsi="Arial" w:cs="Arial"/>
          <w:sz w:val="24"/>
          <w:szCs w:val="24"/>
          <w:lang w:val="es-CO" w:eastAsia="es-ES"/>
        </w:rPr>
        <w:t>primer trimestre del 2015</w:t>
      </w:r>
      <w:r w:rsidRPr="009E05F6">
        <w:rPr>
          <w:rFonts w:ascii="Arial" w:eastAsia="Times New Roman" w:hAnsi="Arial" w:cs="Arial"/>
          <w:sz w:val="24"/>
          <w:szCs w:val="24"/>
          <w:lang w:val="es-CO" w:eastAsia="es-ES"/>
        </w:rPr>
        <w:t xml:space="preserve">, se observa lo siguiente:  </w:t>
      </w:r>
    </w:p>
    <w:p w:rsidR="009071AF" w:rsidRPr="009E05F6" w:rsidRDefault="009071AF" w:rsidP="00296C1F">
      <w:pPr>
        <w:ind w:left="567"/>
        <w:jc w:val="both"/>
        <w:rPr>
          <w:rFonts w:ascii="Arial" w:eastAsia="Times New Roman" w:hAnsi="Arial" w:cs="Arial"/>
          <w:sz w:val="24"/>
          <w:szCs w:val="24"/>
          <w:lang w:val="es-CO" w:eastAsia="es-ES"/>
        </w:rPr>
      </w:pPr>
    </w:p>
    <w:tbl>
      <w:tblPr>
        <w:tblStyle w:val="Tablaconcuadrcula2"/>
        <w:tblW w:w="8339" w:type="dxa"/>
        <w:tblInd w:w="1105" w:type="dxa"/>
        <w:tblLook w:val="04A0" w:firstRow="1" w:lastRow="0" w:firstColumn="1" w:lastColumn="0" w:noHBand="0" w:noVBand="1"/>
      </w:tblPr>
      <w:tblGrid>
        <w:gridCol w:w="2493"/>
        <w:gridCol w:w="1356"/>
        <w:gridCol w:w="1567"/>
        <w:gridCol w:w="1348"/>
        <w:gridCol w:w="1575"/>
      </w:tblGrid>
      <w:tr w:rsidR="00296C1F" w:rsidRPr="00833B89" w:rsidTr="00C87192">
        <w:trPr>
          <w:trHeight w:val="932"/>
        </w:trPr>
        <w:tc>
          <w:tcPr>
            <w:tcW w:w="2493" w:type="dxa"/>
            <w:shd w:val="clear" w:color="auto" w:fill="DEEAF6" w:themeFill="accent1" w:themeFillTint="33"/>
            <w:vAlign w:val="center"/>
          </w:tcPr>
          <w:p w:rsidR="00296C1F" w:rsidRPr="000C05AE" w:rsidRDefault="00296C1F" w:rsidP="00C87192">
            <w:pPr>
              <w:jc w:val="center"/>
              <w:rPr>
                <w:rFonts w:ascii="Arial" w:hAnsi="Arial" w:cs="Arial"/>
                <w:b/>
                <w:color w:val="333333"/>
                <w:sz w:val="17"/>
                <w:szCs w:val="17"/>
              </w:rPr>
            </w:pPr>
            <w:r w:rsidRPr="000C05AE">
              <w:rPr>
                <w:rFonts w:ascii="Arial" w:hAnsi="Arial" w:cs="Arial"/>
                <w:b/>
                <w:color w:val="333333"/>
                <w:sz w:val="17"/>
                <w:szCs w:val="17"/>
              </w:rPr>
              <w:t>PROCESO</w:t>
            </w:r>
          </w:p>
        </w:tc>
        <w:tc>
          <w:tcPr>
            <w:tcW w:w="1356" w:type="dxa"/>
            <w:shd w:val="clear" w:color="auto" w:fill="E7E6E6" w:themeFill="background2"/>
            <w:vAlign w:val="center"/>
          </w:tcPr>
          <w:p w:rsidR="00296C1F" w:rsidRPr="000C05AE" w:rsidRDefault="00264DF4" w:rsidP="00BC5BDC">
            <w:pPr>
              <w:jc w:val="center"/>
              <w:rPr>
                <w:rFonts w:ascii="Arial" w:hAnsi="Arial" w:cs="Arial"/>
                <w:b/>
                <w:color w:val="333333"/>
                <w:sz w:val="17"/>
                <w:szCs w:val="17"/>
              </w:rPr>
            </w:pPr>
            <w:r>
              <w:rPr>
                <w:rFonts w:ascii="Arial" w:hAnsi="Arial" w:cs="Arial"/>
                <w:b/>
                <w:color w:val="333333"/>
                <w:sz w:val="17"/>
                <w:szCs w:val="17"/>
              </w:rPr>
              <w:t xml:space="preserve">No. </w:t>
            </w:r>
            <w:r w:rsidR="00BC5BDC">
              <w:rPr>
                <w:rFonts w:ascii="Arial" w:hAnsi="Arial" w:cs="Arial"/>
                <w:b/>
                <w:color w:val="333333"/>
                <w:sz w:val="17"/>
                <w:szCs w:val="17"/>
              </w:rPr>
              <w:t>de No conformidad</w:t>
            </w:r>
            <w:r>
              <w:rPr>
                <w:rFonts w:ascii="Arial" w:hAnsi="Arial" w:cs="Arial"/>
                <w:b/>
                <w:color w:val="333333"/>
                <w:sz w:val="17"/>
                <w:szCs w:val="17"/>
              </w:rPr>
              <w:t>. Vig. 2014</w:t>
            </w:r>
          </w:p>
        </w:tc>
        <w:tc>
          <w:tcPr>
            <w:tcW w:w="1567" w:type="dxa"/>
            <w:shd w:val="clear" w:color="auto" w:fill="E7E6E6" w:themeFill="background2"/>
            <w:vAlign w:val="center"/>
          </w:tcPr>
          <w:p w:rsidR="00296C1F" w:rsidRPr="000C05AE" w:rsidRDefault="00296C1F" w:rsidP="00C87192">
            <w:pPr>
              <w:jc w:val="center"/>
              <w:rPr>
                <w:rFonts w:ascii="Arial" w:hAnsi="Arial" w:cs="Arial"/>
                <w:b/>
                <w:color w:val="333333"/>
                <w:sz w:val="17"/>
                <w:szCs w:val="17"/>
              </w:rPr>
            </w:pPr>
            <w:r w:rsidRPr="000C05AE">
              <w:rPr>
                <w:rFonts w:ascii="Arial" w:hAnsi="Arial" w:cs="Arial"/>
                <w:b/>
                <w:color w:val="333333"/>
                <w:sz w:val="17"/>
                <w:szCs w:val="17"/>
              </w:rPr>
              <w:t>No</w:t>
            </w:r>
            <w:r w:rsidR="00264DF4">
              <w:rPr>
                <w:rFonts w:ascii="Arial" w:hAnsi="Arial" w:cs="Arial"/>
                <w:b/>
                <w:color w:val="333333"/>
                <w:sz w:val="17"/>
                <w:szCs w:val="17"/>
              </w:rPr>
              <w:t>. De Oport. De mejora. Vig. 2014</w:t>
            </w:r>
          </w:p>
        </w:tc>
        <w:tc>
          <w:tcPr>
            <w:tcW w:w="1348" w:type="dxa"/>
            <w:shd w:val="clear" w:color="auto" w:fill="AEAAAA" w:themeFill="background2" w:themeFillShade="BF"/>
            <w:vAlign w:val="center"/>
          </w:tcPr>
          <w:p w:rsidR="00296C1F" w:rsidRPr="000C05AE" w:rsidRDefault="00296C1F" w:rsidP="00BC5BDC">
            <w:pPr>
              <w:jc w:val="center"/>
              <w:rPr>
                <w:rFonts w:ascii="Arial" w:hAnsi="Arial" w:cs="Arial"/>
                <w:b/>
                <w:color w:val="333333"/>
                <w:sz w:val="17"/>
                <w:szCs w:val="17"/>
              </w:rPr>
            </w:pPr>
            <w:r w:rsidRPr="000C05AE">
              <w:rPr>
                <w:rFonts w:ascii="Arial" w:hAnsi="Arial" w:cs="Arial"/>
                <w:b/>
                <w:color w:val="333333"/>
                <w:sz w:val="17"/>
                <w:szCs w:val="17"/>
              </w:rPr>
              <w:t xml:space="preserve">No. </w:t>
            </w:r>
            <w:r w:rsidR="00BC5BDC">
              <w:rPr>
                <w:rFonts w:ascii="Arial" w:hAnsi="Arial" w:cs="Arial"/>
                <w:b/>
                <w:color w:val="333333"/>
                <w:sz w:val="17"/>
                <w:szCs w:val="17"/>
              </w:rPr>
              <w:t>de No conformidad.</w:t>
            </w:r>
            <w:r w:rsidR="00D00097">
              <w:rPr>
                <w:rFonts w:ascii="Arial" w:hAnsi="Arial" w:cs="Arial"/>
                <w:b/>
                <w:color w:val="333333"/>
                <w:sz w:val="17"/>
                <w:szCs w:val="17"/>
              </w:rPr>
              <w:t xml:space="preserve"> Vig. 2015</w:t>
            </w:r>
          </w:p>
        </w:tc>
        <w:tc>
          <w:tcPr>
            <w:tcW w:w="1575" w:type="dxa"/>
            <w:shd w:val="clear" w:color="auto" w:fill="AEAAAA" w:themeFill="background2" w:themeFillShade="BF"/>
            <w:vAlign w:val="center"/>
          </w:tcPr>
          <w:p w:rsidR="00296C1F" w:rsidRPr="000C05AE" w:rsidRDefault="00296C1F" w:rsidP="00C87192">
            <w:pPr>
              <w:jc w:val="center"/>
              <w:rPr>
                <w:rFonts w:ascii="Arial" w:hAnsi="Arial" w:cs="Arial"/>
                <w:b/>
                <w:color w:val="333333"/>
                <w:sz w:val="17"/>
                <w:szCs w:val="17"/>
              </w:rPr>
            </w:pPr>
            <w:r w:rsidRPr="000C05AE">
              <w:rPr>
                <w:rFonts w:ascii="Arial" w:hAnsi="Arial" w:cs="Arial"/>
                <w:b/>
                <w:color w:val="333333"/>
                <w:sz w:val="17"/>
                <w:szCs w:val="17"/>
              </w:rPr>
              <w:t>No</w:t>
            </w:r>
            <w:r w:rsidR="00D00097">
              <w:rPr>
                <w:rFonts w:ascii="Arial" w:hAnsi="Arial" w:cs="Arial"/>
                <w:b/>
                <w:color w:val="333333"/>
                <w:sz w:val="17"/>
                <w:szCs w:val="17"/>
              </w:rPr>
              <w:t>. De Oport. De mejora. Vig. 2015</w:t>
            </w:r>
          </w:p>
        </w:tc>
      </w:tr>
      <w:tr w:rsidR="009D0DA1" w:rsidRPr="00833B89" w:rsidTr="00C87192">
        <w:trPr>
          <w:trHeight w:val="166"/>
        </w:trPr>
        <w:tc>
          <w:tcPr>
            <w:tcW w:w="2493" w:type="dxa"/>
            <w:vAlign w:val="center"/>
          </w:tcPr>
          <w:p w:rsidR="009D0DA1" w:rsidRPr="009D0DA1" w:rsidRDefault="009D0DA1" w:rsidP="00C87192">
            <w:pPr>
              <w:spacing w:after="0" w:line="240" w:lineRule="auto"/>
              <w:jc w:val="center"/>
              <w:rPr>
                <w:rFonts w:ascii="Arial" w:hAnsi="Arial" w:cs="Arial"/>
                <w:b/>
                <w:color w:val="333333"/>
                <w:sz w:val="17"/>
                <w:szCs w:val="17"/>
              </w:rPr>
            </w:pPr>
            <w:r w:rsidRPr="009D0DA1">
              <w:rPr>
                <w:rFonts w:ascii="Arial" w:hAnsi="Arial" w:cs="Arial"/>
                <w:b/>
                <w:color w:val="333333"/>
                <w:sz w:val="17"/>
                <w:szCs w:val="17"/>
              </w:rPr>
              <w:t>Control Financiero Contable de las CCF</w:t>
            </w:r>
          </w:p>
        </w:tc>
        <w:tc>
          <w:tcPr>
            <w:tcW w:w="1356" w:type="dxa"/>
          </w:tcPr>
          <w:p w:rsidR="009D0DA1" w:rsidRPr="000C05AE" w:rsidRDefault="009D0DA1" w:rsidP="00C87192">
            <w:pPr>
              <w:rPr>
                <w:rFonts w:ascii="Arial" w:hAnsi="Arial" w:cs="Arial"/>
                <w:color w:val="333333"/>
                <w:sz w:val="17"/>
                <w:szCs w:val="17"/>
              </w:rPr>
            </w:pPr>
          </w:p>
        </w:tc>
        <w:tc>
          <w:tcPr>
            <w:tcW w:w="1567" w:type="dxa"/>
          </w:tcPr>
          <w:p w:rsidR="009D0DA1" w:rsidRPr="000C05AE" w:rsidRDefault="009D0DA1" w:rsidP="00C87192">
            <w:pPr>
              <w:rPr>
                <w:rFonts w:ascii="Arial" w:hAnsi="Arial" w:cs="Arial"/>
                <w:color w:val="333333"/>
                <w:sz w:val="17"/>
                <w:szCs w:val="17"/>
              </w:rPr>
            </w:pPr>
          </w:p>
        </w:tc>
        <w:tc>
          <w:tcPr>
            <w:tcW w:w="1348"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3</w:t>
            </w:r>
          </w:p>
        </w:tc>
        <w:tc>
          <w:tcPr>
            <w:tcW w:w="1575" w:type="dxa"/>
          </w:tcPr>
          <w:p w:rsidR="009D0DA1" w:rsidRPr="000C05AE" w:rsidRDefault="009D0DA1" w:rsidP="00264DF4">
            <w:pPr>
              <w:jc w:val="center"/>
              <w:rPr>
                <w:rFonts w:ascii="Arial" w:hAnsi="Arial" w:cs="Arial"/>
                <w:color w:val="333333"/>
                <w:sz w:val="17"/>
                <w:szCs w:val="17"/>
              </w:rPr>
            </w:pPr>
            <w:r w:rsidRPr="000C05AE">
              <w:rPr>
                <w:rFonts w:ascii="Arial" w:hAnsi="Arial" w:cs="Arial"/>
                <w:color w:val="333333"/>
                <w:sz w:val="17"/>
                <w:szCs w:val="17"/>
              </w:rPr>
              <w:t>0</w:t>
            </w:r>
          </w:p>
        </w:tc>
      </w:tr>
      <w:tr w:rsidR="009D0DA1" w:rsidRPr="00833B89" w:rsidTr="00C87192">
        <w:trPr>
          <w:trHeight w:val="166"/>
        </w:trPr>
        <w:tc>
          <w:tcPr>
            <w:tcW w:w="2493" w:type="dxa"/>
            <w:vAlign w:val="center"/>
          </w:tcPr>
          <w:p w:rsidR="009D0DA1" w:rsidRPr="009D0DA1" w:rsidRDefault="009D0DA1" w:rsidP="00C87192">
            <w:pPr>
              <w:spacing w:after="0" w:line="240" w:lineRule="auto"/>
              <w:jc w:val="center"/>
              <w:rPr>
                <w:rFonts w:ascii="Arial" w:hAnsi="Arial" w:cs="Arial"/>
                <w:b/>
                <w:color w:val="333333"/>
                <w:sz w:val="17"/>
                <w:szCs w:val="17"/>
              </w:rPr>
            </w:pPr>
            <w:r w:rsidRPr="009D0DA1">
              <w:rPr>
                <w:rFonts w:ascii="Arial" w:hAnsi="Arial" w:cs="Arial"/>
                <w:b/>
                <w:color w:val="333333"/>
                <w:sz w:val="17"/>
                <w:szCs w:val="17"/>
              </w:rPr>
              <w:t>Gestión del Talento Humano</w:t>
            </w:r>
          </w:p>
        </w:tc>
        <w:tc>
          <w:tcPr>
            <w:tcW w:w="1356"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5</w:t>
            </w:r>
          </w:p>
        </w:tc>
        <w:tc>
          <w:tcPr>
            <w:tcW w:w="1567"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3</w:t>
            </w:r>
          </w:p>
        </w:tc>
        <w:tc>
          <w:tcPr>
            <w:tcW w:w="1348"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3</w:t>
            </w:r>
          </w:p>
        </w:tc>
        <w:tc>
          <w:tcPr>
            <w:tcW w:w="1575"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0</w:t>
            </w:r>
          </w:p>
        </w:tc>
      </w:tr>
      <w:tr w:rsidR="009D0DA1" w:rsidRPr="00833B89" w:rsidTr="00264DF4">
        <w:trPr>
          <w:trHeight w:val="166"/>
        </w:trPr>
        <w:tc>
          <w:tcPr>
            <w:tcW w:w="2493" w:type="dxa"/>
            <w:vAlign w:val="center"/>
          </w:tcPr>
          <w:p w:rsidR="009D0DA1" w:rsidRPr="009D0DA1" w:rsidRDefault="009D0DA1" w:rsidP="00C87192">
            <w:pPr>
              <w:spacing w:after="0" w:line="240" w:lineRule="auto"/>
              <w:jc w:val="center"/>
              <w:rPr>
                <w:rFonts w:ascii="Arial" w:hAnsi="Arial" w:cs="Arial"/>
                <w:b/>
                <w:color w:val="333333"/>
                <w:sz w:val="17"/>
                <w:szCs w:val="17"/>
              </w:rPr>
            </w:pPr>
            <w:r w:rsidRPr="009D0DA1">
              <w:rPr>
                <w:rFonts w:ascii="Arial" w:hAnsi="Arial" w:cs="Arial"/>
                <w:b/>
                <w:color w:val="333333"/>
                <w:sz w:val="17"/>
                <w:szCs w:val="17"/>
              </w:rPr>
              <w:t>Control Legal de Cajas de Compensación Familiar</w:t>
            </w:r>
          </w:p>
        </w:tc>
        <w:tc>
          <w:tcPr>
            <w:tcW w:w="1356" w:type="dxa"/>
            <w:vAlign w:val="center"/>
          </w:tcPr>
          <w:p w:rsidR="009D0DA1" w:rsidRPr="000C05AE" w:rsidRDefault="009D0DA1" w:rsidP="00264DF4">
            <w:pPr>
              <w:jc w:val="center"/>
              <w:rPr>
                <w:rFonts w:ascii="Arial" w:hAnsi="Arial" w:cs="Arial"/>
                <w:color w:val="333333"/>
                <w:sz w:val="17"/>
                <w:szCs w:val="17"/>
              </w:rPr>
            </w:pPr>
          </w:p>
        </w:tc>
        <w:tc>
          <w:tcPr>
            <w:tcW w:w="1567" w:type="dxa"/>
          </w:tcPr>
          <w:p w:rsidR="009D0DA1" w:rsidRPr="000C05AE" w:rsidRDefault="009D0DA1" w:rsidP="00C87192">
            <w:pPr>
              <w:rPr>
                <w:rFonts w:ascii="Arial" w:hAnsi="Arial" w:cs="Arial"/>
                <w:color w:val="333333"/>
                <w:sz w:val="17"/>
                <w:szCs w:val="17"/>
              </w:rPr>
            </w:pPr>
          </w:p>
        </w:tc>
        <w:tc>
          <w:tcPr>
            <w:tcW w:w="1348"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1</w:t>
            </w:r>
          </w:p>
        </w:tc>
        <w:tc>
          <w:tcPr>
            <w:tcW w:w="1575"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2</w:t>
            </w:r>
          </w:p>
        </w:tc>
      </w:tr>
      <w:tr w:rsidR="009D0DA1" w:rsidRPr="00833B89" w:rsidTr="00C87192">
        <w:trPr>
          <w:trHeight w:val="166"/>
        </w:trPr>
        <w:tc>
          <w:tcPr>
            <w:tcW w:w="2493" w:type="dxa"/>
            <w:vAlign w:val="center"/>
          </w:tcPr>
          <w:p w:rsidR="009D0DA1" w:rsidRPr="009D0DA1" w:rsidRDefault="009D0DA1" w:rsidP="00C87192">
            <w:pPr>
              <w:spacing w:after="0" w:line="240" w:lineRule="auto"/>
              <w:jc w:val="center"/>
              <w:rPr>
                <w:rFonts w:ascii="Arial" w:hAnsi="Arial" w:cs="Arial"/>
                <w:b/>
                <w:color w:val="333333"/>
                <w:sz w:val="17"/>
                <w:szCs w:val="17"/>
              </w:rPr>
            </w:pPr>
            <w:r w:rsidRPr="009D0DA1">
              <w:rPr>
                <w:rFonts w:ascii="Arial" w:hAnsi="Arial" w:cs="Arial"/>
                <w:b/>
                <w:color w:val="333333"/>
                <w:sz w:val="17"/>
                <w:szCs w:val="17"/>
              </w:rPr>
              <w:t>Almacén e Inventarios</w:t>
            </w:r>
          </w:p>
        </w:tc>
        <w:tc>
          <w:tcPr>
            <w:tcW w:w="1356"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11</w:t>
            </w:r>
          </w:p>
        </w:tc>
        <w:tc>
          <w:tcPr>
            <w:tcW w:w="1567"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4</w:t>
            </w:r>
          </w:p>
        </w:tc>
        <w:tc>
          <w:tcPr>
            <w:tcW w:w="1348"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1</w:t>
            </w:r>
          </w:p>
        </w:tc>
        <w:tc>
          <w:tcPr>
            <w:tcW w:w="1575"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4</w:t>
            </w:r>
          </w:p>
        </w:tc>
      </w:tr>
      <w:tr w:rsidR="009D0DA1" w:rsidRPr="00833B89" w:rsidTr="00264DF4">
        <w:trPr>
          <w:trHeight w:val="166"/>
        </w:trPr>
        <w:tc>
          <w:tcPr>
            <w:tcW w:w="2493" w:type="dxa"/>
            <w:vAlign w:val="center"/>
          </w:tcPr>
          <w:p w:rsidR="009D0DA1" w:rsidRPr="009D0DA1" w:rsidRDefault="009D0DA1" w:rsidP="00C87192">
            <w:pPr>
              <w:spacing w:after="0" w:line="240" w:lineRule="auto"/>
              <w:jc w:val="center"/>
              <w:rPr>
                <w:rFonts w:ascii="Arial" w:hAnsi="Arial" w:cs="Arial"/>
                <w:b/>
                <w:color w:val="333333"/>
                <w:sz w:val="17"/>
                <w:szCs w:val="17"/>
              </w:rPr>
            </w:pPr>
            <w:r w:rsidRPr="009D0DA1">
              <w:rPr>
                <w:rFonts w:ascii="Arial" w:hAnsi="Arial" w:cs="Arial"/>
                <w:b/>
                <w:color w:val="333333"/>
                <w:sz w:val="17"/>
                <w:szCs w:val="17"/>
              </w:rPr>
              <w:t>Gestión Documental</w:t>
            </w:r>
          </w:p>
        </w:tc>
        <w:tc>
          <w:tcPr>
            <w:tcW w:w="1356" w:type="dxa"/>
            <w:vAlign w:val="center"/>
          </w:tcPr>
          <w:p w:rsidR="009D0DA1" w:rsidRPr="000C05AE" w:rsidRDefault="009D0DA1" w:rsidP="00264DF4">
            <w:pPr>
              <w:jc w:val="center"/>
              <w:rPr>
                <w:rFonts w:ascii="Arial" w:hAnsi="Arial" w:cs="Arial"/>
                <w:color w:val="333333"/>
                <w:sz w:val="17"/>
                <w:szCs w:val="17"/>
              </w:rPr>
            </w:pPr>
          </w:p>
        </w:tc>
        <w:tc>
          <w:tcPr>
            <w:tcW w:w="1567" w:type="dxa"/>
          </w:tcPr>
          <w:p w:rsidR="009D0DA1" w:rsidRPr="000C05AE" w:rsidRDefault="009D0DA1" w:rsidP="00C87192">
            <w:pPr>
              <w:rPr>
                <w:rFonts w:ascii="Arial" w:hAnsi="Arial" w:cs="Arial"/>
                <w:color w:val="333333"/>
                <w:sz w:val="17"/>
                <w:szCs w:val="17"/>
              </w:rPr>
            </w:pPr>
          </w:p>
        </w:tc>
        <w:tc>
          <w:tcPr>
            <w:tcW w:w="1348"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2</w:t>
            </w:r>
          </w:p>
        </w:tc>
        <w:tc>
          <w:tcPr>
            <w:tcW w:w="1575"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1</w:t>
            </w:r>
          </w:p>
        </w:tc>
      </w:tr>
      <w:tr w:rsidR="009D0DA1" w:rsidRPr="00833B89" w:rsidTr="00C87192">
        <w:trPr>
          <w:trHeight w:val="166"/>
        </w:trPr>
        <w:tc>
          <w:tcPr>
            <w:tcW w:w="2493" w:type="dxa"/>
            <w:vAlign w:val="center"/>
          </w:tcPr>
          <w:p w:rsidR="009D0DA1" w:rsidRPr="009D0DA1" w:rsidRDefault="009D0DA1" w:rsidP="00C87192">
            <w:pPr>
              <w:spacing w:after="0" w:line="240" w:lineRule="auto"/>
              <w:jc w:val="center"/>
              <w:rPr>
                <w:rFonts w:ascii="Arial" w:hAnsi="Arial" w:cs="Arial"/>
                <w:b/>
                <w:color w:val="333333"/>
                <w:sz w:val="17"/>
                <w:szCs w:val="17"/>
              </w:rPr>
            </w:pPr>
            <w:r w:rsidRPr="009D0DA1">
              <w:rPr>
                <w:rFonts w:ascii="Arial" w:hAnsi="Arial" w:cs="Arial"/>
                <w:b/>
                <w:color w:val="333333"/>
                <w:sz w:val="17"/>
                <w:szCs w:val="17"/>
              </w:rPr>
              <w:t>Evaluación de Gestión de Cajas de Compensación Familiar</w:t>
            </w:r>
          </w:p>
        </w:tc>
        <w:tc>
          <w:tcPr>
            <w:tcW w:w="1356"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6</w:t>
            </w:r>
          </w:p>
        </w:tc>
        <w:tc>
          <w:tcPr>
            <w:tcW w:w="1567"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1</w:t>
            </w:r>
          </w:p>
        </w:tc>
        <w:tc>
          <w:tcPr>
            <w:tcW w:w="1348"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0</w:t>
            </w:r>
          </w:p>
        </w:tc>
        <w:tc>
          <w:tcPr>
            <w:tcW w:w="1575" w:type="dxa"/>
          </w:tcPr>
          <w:p w:rsidR="009D0DA1" w:rsidRPr="000C05AE" w:rsidRDefault="00264DF4" w:rsidP="00264DF4">
            <w:pPr>
              <w:jc w:val="center"/>
              <w:rPr>
                <w:rFonts w:ascii="Arial" w:hAnsi="Arial" w:cs="Arial"/>
                <w:color w:val="333333"/>
                <w:sz w:val="17"/>
                <w:szCs w:val="17"/>
              </w:rPr>
            </w:pPr>
            <w:r>
              <w:rPr>
                <w:rFonts w:ascii="Arial" w:hAnsi="Arial" w:cs="Arial"/>
                <w:color w:val="333333"/>
                <w:sz w:val="17"/>
                <w:szCs w:val="17"/>
              </w:rPr>
              <w:t>3</w:t>
            </w:r>
          </w:p>
        </w:tc>
      </w:tr>
    </w:tbl>
    <w:p w:rsidR="00DB659A" w:rsidRDefault="00DB659A" w:rsidP="00296C1F">
      <w:pPr>
        <w:jc w:val="center"/>
        <w:rPr>
          <w:rFonts w:ascii="Arial" w:eastAsiaTheme="minorEastAsia" w:hAnsi="Arial" w:cs="Arial"/>
          <w:b/>
          <w:color w:val="333333"/>
          <w:sz w:val="17"/>
          <w:szCs w:val="17"/>
        </w:rPr>
      </w:pPr>
    </w:p>
    <w:p w:rsidR="00296C1F" w:rsidRDefault="00296C1F" w:rsidP="00296C1F">
      <w:pPr>
        <w:jc w:val="center"/>
        <w:rPr>
          <w:rFonts w:ascii="Arial" w:eastAsiaTheme="minorEastAsia" w:hAnsi="Arial" w:cs="Arial"/>
          <w:b/>
          <w:color w:val="333333"/>
          <w:sz w:val="17"/>
          <w:szCs w:val="17"/>
        </w:rPr>
      </w:pPr>
      <w:r w:rsidRPr="000C05AE">
        <w:rPr>
          <w:rFonts w:ascii="Arial" w:eastAsiaTheme="minorEastAsia" w:hAnsi="Arial" w:cs="Arial"/>
          <w:b/>
          <w:color w:val="333333"/>
          <w:sz w:val="17"/>
          <w:szCs w:val="17"/>
        </w:rPr>
        <w:t xml:space="preserve">Tabla 3. Comparación del número de </w:t>
      </w:r>
      <w:r w:rsidR="00F96C21">
        <w:rPr>
          <w:rFonts w:ascii="Arial" w:eastAsiaTheme="minorEastAsia" w:hAnsi="Arial" w:cs="Arial"/>
          <w:b/>
          <w:color w:val="333333"/>
          <w:sz w:val="17"/>
          <w:szCs w:val="17"/>
        </w:rPr>
        <w:t>no conformidades</w:t>
      </w:r>
      <w:r w:rsidRPr="000C05AE">
        <w:rPr>
          <w:rFonts w:ascii="Arial" w:eastAsiaTheme="minorEastAsia" w:hAnsi="Arial" w:cs="Arial"/>
          <w:b/>
          <w:color w:val="333333"/>
          <w:sz w:val="17"/>
          <w:szCs w:val="17"/>
        </w:rPr>
        <w:t xml:space="preserve"> y oportunidades de mejora </w:t>
      </w:r>
      <w:r w:rsidR="00264DF4">
        <w:rPr>
          <w:rFonts w:ascii="Arial" w:eastAsiaTheme="minorEastAsia" w:hAnsi="Arial" w:cs="Arial"/>
          <w:b/>
          <w:color w:val="333333"/>
          <w:sz w:val="17"/>
          <w:szCs w:val="17"/>
        </w:rPr>
        <w:t>I trimestre del 2015 con las de la vigencia 2014</w:t>
      </w:r>
    </w:p>
    <w:p w:rsidR="00EC65DA" w:rsidRDefault="00EC65DA" w:rsidP="00296C1F">
      <w:pPr>
        <w:ind w:left="567"/>
        <w:jc w:val="both"/>
        <w:rPr>
          <w:rFonts w:ascii="Arial" w:eastAsia="Times New Roman" w:hAnsi="Arial" w:cs="Arial"/>
          <w:sz w:val="24"/>
          <w:lang w:val="es-CO" w:eastAsia="es-ES"/>
        </w:rPr>
      </w:pPr>
    </w:p>
    <w:p w:rsidR="009071AF" w:rsidRDefault="009071AF" w:rsidP="00296C1F">
      <w:pPr>
        <w:ind w:left="567"/>
        <w:jc w:val="both"/>
        <w:rPr>
          <w:rFonts w:ascii="Arial" w:eastAsia="Times New Roman" w:hAnsi="Arial" w:cs="Arial"/>
          <w:sz w:val="24"/>
          <w:lang w:val="es-CO" w:eastAsia="es-ES"/>
        </w:rPr>
      </w:pPr>
    </w:p>
    <w:p w:rsidR="004273AB" w:rsidRDefault="004273AB" w:rsidP="00296C1F">
      <w:pPr>
        <w:ind w:left="567"/>
        <w:jc w:val="both"/>
        <w:rPr>
          <w:rFonts w:ascii="Arial" w:eastAsia="Times New Roman" w:hAnsi="Arial" w:cs="Arial"/>
          <w:sz w:val="24"/>
          <w:lang w:val="es-CO" w:eastAsia="es-ES"/>
        </w:rPr>
      </w:pPr>
      <w:r>
        <w:rPr>
          <w:rFonts w:ascii="Arial" w:eastAsia="Times New Roman" w:hAnsi="Arial" w:cs="Arial"/>
          <w:sz w:val="24"/>
          <w:lang w:val="es-CO" w:eastAsia="es-ES"/>
        </w:rPr>
        <w:t xml:space="preserve">Teniendo en cuenta el cuadro anterior, primero se hace necesario informar que los procesos de </w:t>
      </w:r>
      <w:r w:rsidRPr="004273AB">
        <w:rPr>
          <w:rFonts w:ascii="Arial" w:eastAsia="Times New Roman" w:hAnsi="Arial" w:cs="Arial"/>
          <w:sz w:val="24"/>
          <w:lang w:val="es-CO" w:eastAsia="es-ES"/>
        </w:rPr>
        <w:t>Control Financiero Contable de las CCF, Control Legal de Cajas de Compensación Familiar y Gestión Documental no fueron auditados</w:t>
      </w:r>
      <w:r>
        <w:rPr>
          <w:rFonts w:ascii="Arial" w:eastAsia="Times New Roman" w:hAnsi="Arial" w:cs="Arial"/>
          <w:sz w:val="24"/>
          <w:lang w:val="es-CO" w:eastAsia="es-ES"/>
        </w:rPr>
        <w:t xml:space="preserve"> en el 2014, en razón de que para esa</w:t>
      </w:r>
      <w:r w:rsidRPr="004273AB">
        <w:rPr>
          <w:rFonts w:ascii="Arial" w:eastAsia="Times New Roman" w:hAnsi="Arial" w:cs="Arial"/>
          <w:sz w:val="24"/>
          <w:lang w:val="es-CO" w:eastAsia="es-ES"/>
        </w:rPr>
        <w:t xml:space="preserve"> vigencia solo se </w:t>
      </w:r>
      <w:r>
        <w:rPr>
          <w:rFonts w:ascii="Arial" w:eastAsia="Times New Roman" w:hAnsi="Arial" w:cs="Arial"/>
          <w:sz w:val="24"/>
          <w:lang w:val="es-CO" w:eastAsia="es-ES"/>
        </w:rPr>
        <w:t>incluyeron en el cronograma</w:t>
      </w:r>
      <w:r w:rsidRPr="004273AB">
        <w:rPr>
          <w:rFonts w:ascii="Arial" w:eastAsia="Times New Roman" w:hAnsi="Arial" w:cs="Arial"/>
          <w:sz w:val="24"/>
          <w:lang w:val="es-CO" w:eastAsia="es-ES"/>
        </w:rPr>
        <w:t xml:space="preserve"> auditorías los procesos y procedimientos que se encontraban aprobados a la fecha de programación.</w:t>
      </w:r>
    </w:p>
    <w:p w:rsidR="002F2636" w:rsidRDefault="004273AB" w:rsidP="00E81F34">
      <w:pPr>
        <w:ind w:left="567"/>
        <w:jc w:val="both"/>
        <w:rPr>
          <w:rFonts w:ascii="Arial" w:eastAsia="Times New Roman" w:hAnsi="Arial" w:cs="Arial"/>
          <w:b/>
          <w:sz w:val="24"/>
          <w:u w:val="single"/>
          <w:lang w:val="es-CO" w:eastAsia="es-ES"/>
        </w:rPr>
      </w:pPr>
      <w:r>
        <w:rPr>
          <w:rFonts w:ascii="Arial" w:eastAsia="Times New Roman" w:hAnsi="Arial" w:cs="Arial"/>
          <w:sz w:val="24"/>
          <w:lang w:val="es-CO" w:eastAsia="es-ES"/>
        </w:rPr>
        <w:t>Ahora bien c</w:t>
      </w:r>
      <w:r w:rsidR="00296C1F" w:rsidRPr="009E05F6">
        <w:rPr>
          <w:rFonts w:ascii="Arial" w:eastAsia="Times New Roman" w:hAnsi="Arial" w:cs="Arial"/>
          <w:sz w:val="24"/>
          <w:lang w:val="es-CO" w:eastAsia="es-ES"/>
        </w:rPr>
        <w:t xml:space="preserve">on relación al número de </w:t>
      </w:r>
      <w:r w:rsidR="005A48DD">
        <w:rPr>
          <w:rFonts w:ascii="Arial" w:eastAsia="Times New Roman" w:hAnsi="Arial" w:cs="Arial"/>
          <w:sz w:val="24"/>
          <w:lang w:val="es-CO" w:eastAsia="es-ES"/>
        </w:rPr>
        <w:t>no conformidades</w:t>
      </w:r>
      <w:r w:rsidR="00296C1F" w:rsidRPr="009E05F6">
        <w:rPr>
          <w:rFonts w:ascii="Arial" w:eastAsia="Times New Roman" w:hAnsi="Arial" w:cs="Arial"/>
          <w:sz w:val="24"/>
          <w:lang w:val="es-CO" w:eastAsia="es-ES"/>
        </w:rPr>
        <w:t xml:space="preserve"> y oportunidades de mejora que se generaron de las auditorías realizadas en la vigencia 201</w:t>
      </w:r>
      <w:r>
        <w:rPr>
          <w:rFonts w:ascii="Arial" w:eastAsia="Times New Roman" w:hAnsi="Arial" w:cs="Arial"/>
          <w:sz w:val="24"/>
          <w:lang w:val="es-CO" w:eastAsia="es-ES"/>
        </w:rPr>
        <w:t>4</w:t>
      </w:r>
      <w:r w:rsidR="00296C1F" w:rsidRPr="009E05F6">
        <w:rPr>
          <w:rFonts w:ascii="Arial" w:eastAsia="Times New Roman" w:hAnsi="Arial" w:cs="Arial"/>
          <w:sz w:val="24"/>
          <w:lang w:val="es-CO" w:eastAsia="es-ES"/>
        </w:rPr>
        <w:t xml:space="preserve"> y en el </w:t>
      </w:r>
      <w:r>
        <w:rPr>
          <w:rFonts w:ascii="Arial" w:eastAsia="Times New Roman" w:hAnsi="Arial" w:cs="Arial"/>
          <w:sz w:val="24"/>
          <w:lang w:val="es-CO" w:eastAsia="es-ES"/>
        </w:rPr>
        <w:t>primer</w:t>
      </w:r>
      <w:r w:rsidR="00296C1F" w:rsidRPr="009E05F6">
        <w:rPr>
          <w:rFonts w:ascii="Arial" w:eastAsia="Times New Roman" w:hAnsi="Arial" w:cs="Arial"/>
          <w:sz w:val="24"/>
          <w:lang w:val="es-CO" w:eastAsia="es-ES"/>
        </w:rPr>
        <w:t xml:space="preserve"> trimestre del </w:t>
      </w:r>
      <w:r>
        <w:rPr>
          <w:rFonts w:ascii="Arial" w:eastAsia="Times New Roman" w:hAnsi="Arial" w:cs="Arial"/>
          <w:sz w:val="24"/>
          <w:lang w:val="es-CO" w:eastAsia="es-ES"/>
        </w:rPr>
        <w:t>2015</w:t>
      </w:r>
      <w:r w:rsidR="00296C1F" w:rsidRPr="009E05F6">
        <w:rPr>
          <w:rFonts w:ascii="Arial" w:eastAsia="Times New Roman" w:hAnsi="Arial" w:cs="Arial"/>
          <w:sz w:val="24"/>
          <w:lang w:val="es-CO" w:eastAsia="es-ES"/>
        </w:rPr>
        <w:t xml:space="preserve"> a los mismos procesos, se tiene que los procesos</w:t>
      </w:r>
      <w:r>
        <w:rPr>
          <w:rFonts w:ascii="Arial" w:eastAsia="Times New Roman" w:hAnsi="Arial" w:cs="Arial"/>
          <w:sz w:val="24"/>
          <w:lang w:val="es-CO" w:eastAsia="es-ES"/>
        </w:rPr>
        <w:t xml:space="preserve"> de Gestión del Talento Humano, Almacén e I</w:t>
      </w:r>
      <w:r w:rsidR="00296C1F" w:rsidRPr="009E05F6">
        <w:rPr>
          <w:rFonts w:ascii="Arial" w:eastAsia="Times New Roman" w:hAnsi="Arial" w:cs="Arial"/>
          <w:sz w:val="24"/>
          <w:lang w:val="es-CO" w:eastAsia="es-ES"/>
        </w:rPr>
        <w:t>nventarios</w:t>
      </w:r>
      <w:r>
        <w:rPr>
          <w:rFonts w:ascii="Arial" w:eastAsia="Times New Roman" w:hAnsi="Arial" w:cs="Arial"/>
          <w:sz w:val="24"/>
          <w:lang w:val="es-CO" w:eastAsia="es-ES"/>
        </w:rPr>
        <w:t xml:space="preserve"> y </w:t>
      </w:r>
      <w:r w:rsidRPr="004273AB">
        <w:rPr>
          <w:rFonts w:ascii="Arial" w:eastAsia="Times New Roman" w:hAnsi="Arial" w:cs="Arial"/>
          <w:sz w:val="24"/>
          <w:lang w:val="es-CO" w:eastAsia="es-ES"/>
        </w:rPr>
        <w:t>Evaluación de Gestión de Cajas de Compensación Familiar</w:t>
      </w:r>
      <w:r w:rsidR="00296C1F" w:rsidRPr="009E05F6">
        <w:rPr>
          <w:rFonts w:ascii="Arial" w:eastAsia="Times New Roman" w:hAnsi="Arial" w:cs="Arial"/>
          <w:sz w:val="24"/>
          <w:lang w:val="es-CO" w:eastAsia="es-ES"/>
        </w:rPr>
        <w:t xml:space="preserve"> </w:t>
      </w:r>
      <w:r>
        <w:rPr>
          <w:rFonts w:ascii="Arial" w:eastAsia="Times New Roman" w:hAnsi="Arial" w:cs="Arial"/>
          <w:sz w:val="24"/>
          <w:lang w:val="es-CO" w:eastAsia="es-ES"/>
        </w:rPr>
        <w:t>disminuyeron significativamente</w:t>
      </w:r>
      <w:r w:rsidR="00296C1F" w:rsidRPr="009E05F6">
        <w:rPr>
          <w:rFonts w:ascii="Arial" w:eastAsia="Times New Roman" w:hAnsi="Arial" w:cs="Arial"/>
          <w:sz w:val="24"/>
          <w:lang w:val="es-CO" w:eastAsia="es-ES"/>
        </w:rPr>
        <w:t xml:space="preserve"> el número de no conformidades</w:t>
      </w:r>
      <w:r w:rsidR="00CE3B31">
        <w:rPr>
          <w:rFonts w:ascii="Arial" w:eastAsia="Times New Roman" w:hAnsi="Arial" w:cs="Arial"/>
          <w:sz w:val="24"/>
          <w:lang w:val="es-CO" w:eastAsia="es-ES"/>
        </w:rPr>
        <w:t xml:space="preserve"> y oportunidades de mejora</w:t>
      </w:r>
      <w:r w:rsidR="00296C1F" w:rsidRPr="009E05F6">
        <w:rPr>
          <w:rFonts w:ascii="Arial" w:eastAsia="Times New Roman" w:hAnsi="Arial" w:cs="Arial"/>
          <w:sz w:val="24"/>
          <w:lang w:val="es-CO" w:eastAsia="es-ES"/>
        </w:rPr>
        <w:t xml:space="preserve">, </w:t>
      </w:r>
      <w:r>
        <w:rPr>
          <w:rFonts w:ascii="Arial" w:eastAsia="Times New Roman" w:hAnsi="Arial" w:cs="Arial"/>
          <w:sz w:val="24"/>
          <w:lang w:val="es-CO" w:eastAsia="es-ES"/>
        </w:rPr>
        <w:t>lo cual re</w:t>
      </w:r>
      <w:r w:rsidR="00CE3B31">
        <w:rPr>
          <w:rFonts w:ascii="Arial" w:eastAsia="Times New Roman" w:hAnsi="Arial" w:cs="Arial"/>
          <w:sz w:val="24"/>
          <w:lang w:val="es-CO" w:eastAsia="es-ES"/>
        </w:rPr>
        <w:t xml:space="preserve">fleja </w:t>
      </w:r>
      <w:r>
        <w:rPr>
          <w:rFonts w:ascii="Arial" w:eastAsia="Times New Roman" w:hAnsi="Arial" w:cs="Arial"/>
          <w:sz w:val="24"/>
          <w:lang w:val="es-CO" w:eastAsia="es-ES"/>
        </w:rPr>
        <w:t>un mejoramiento</w:t>
      </w:r>
      <w:r w:rsidR="00CE3B31">
        <w:rPr>
          <w:rFonts w:ascii="Arial" w:eastAsia="Times New Roman" w:hAnsi="Arial" w:cs="Arial"/>
          <w:sz w:val="24"/>
          <w:lang w:val="es-CO" w:eastAsia="es-ES"/>
        </w:rPr>
        <w:t xml:space="preserve"> en dichos procesos</w:t>
      </w:r>
      <w:r w:rsidR="005A48DD">
        <w:rPr>
          <w:rFonts w:ascii="Arial" w:eastAsia="Times New Roman" w:hAnsi="Arial" w:cs="Arial"/>
          <w:sz w:val="24"/>
          <w:lang w:val="es-CO" w:eastAsia="es-ES"/>
        </w:rPr>
        <w:t>.</w:t>
      </w:r>
      <w:r>
        <w:rPr>
          <w:rFonts w:ascii="Arial" w:eastAsia="Times New Roman" w:hAnsi="Arial" w:cs="Arial"/>
          <w:sz w:val="24"/>
          <w:lang w:val="es-CO" w:eastAsia="es-ES"/>
        </w:rPr>
        <w:t xml:space="preserve"> </w:t>
      </w:r>
      <w:r w:rsidR="00296C1F" w:rsidRPr="009E05F6">
        <w:rPr>
          <w:rFonts w:ascii="Arial" w:eastAsia="Times New Roman" w:hAnsi="Arial" w:cs="Arial"/>
          <w:b/>
          <w:sz w:val="24"/>
          <w:u w:val="single"/>
          <w:lang w:val="es-CO" w:eastAsia="es-ES"/>
        </w:rPr>
        <w:cr/>
      </w:r>
    </w:p>
    <w:p w:rsidR="00296C1F" w:rsidRDefault="00296C1F" w:rsidP="00296C1F">
      <w:pPr>
        <w:pStyle w:val="Prrafodelista"/>
        <w:numPr>
          <w:ilvl w:val="0"/>
          <w:numId w:val="7"/>
        </w:numPr>
        <w:jc w:val="both"/>
        <w:rPr>
          <w:rFonts w:ascii="Arial" w:eastAsia="Times New Roman" w:hAnsi="Arial" w:cs="Arial"/>
          <w:b/>
          <w:sz w:val="24"/>
          <w:lang w:val="es-CO" w:eastAsia="es-ES"/>
        </w:rPr>
      </w:pPr>
      <w:r w:rsidRPr="009E05F6">
        <w:rPr>
          <w:rFonts w:ascii="Arial" w:eastAsia="Times New Roman" w:hAnsi="Arial" w:cs="Arial"/>
          <w:b/>
          <w:sz w:val="24"/>
          <w:lang w:val="es-CO" w:eastAsia="es-ES"/>
        </w:rPr>
        <w:t xml:space="preserve">CONCLUSIONES </w:t>
      </w:r>
    </w:p>
    <w:p w:rsidR="00BC714A" w:rsidRDefault="00BC714A" w:rsidP="00BC714A">
      <w:pPr>
        <w:pStyle w:val="Prrafodelista"/>
        <w:jc w:val="both"/>
        <w:rPr>
          <w:rFonts w:ascii="Arial" w:eastAsia="Times New Roman" w:hAnsi="Arial" w:cs="Arial"/>
          <w:b/>
          <w:sz w:val="24"/>
          <w:lang w:val="es-CO" w:eastAsia="es-ES"/>
        </w:rPr>
      </w:pPr>
    </w:p>
    <w:p w:rsidR="00DB659A" w:rsidRDefault="009C7362" w:rsidP="00DB659A">
      <w:pPr>
        <w:pStyle w:val="Prrafodelista"/>
        <w:numPr>
          <w:ilvl w:val="0"/>
          <w:numId w:val="19"/>
        </w:numPr>
        <w:autoSpaceDE w:val="0"/>
        <w:autoSpaceDN w:val="0"/>
        <w:adjustRightInd w:val="0"/>
        <w:spacing w:after="0" w:line="240" w:lineRule="auto"/>
        <w:ind w:left="850" w:hanging="357"/>
        <w:jc w:val="both"/>
        <w:rPr>
          <w:rFonts w:ascii="Arial" w:eastAsia="Times New Roman" w:hAnsi="Arial" w:cs="Arial"/>
          <w:sz w:val="24"/>
          <w:lang w:val="es-CO" w:eastAsia="es-ES"/>
        </w:rPr>
      </w:pPr>
      <w:r w:rsidRPr="009C7362">
        <w:rPr>
          <w:rFonts w:ascii="Arial" w:eastAsia="Times New Roman" w:hAnsi="Arial" w:cs="Arial"/>
          <w:sz w:val="24"/>
          <w:lang w:val="es-CO" w:eastAsia="es-ES"/>
        </w:rPr>
        <w:t>Es relevante resaltar el mejoramiento de los procesos auditados, se evidencia el compromiso en la gestión por parte de los líderes y colaboradores en las acciones de mejora y seguimiento periódico para el fortalecimiento y avances de cada uno de los procesos. En términos generales, se dio cumplimiento al Sistema de Gestió</w:t>
      </w:r>
      <w:r w:rsidR="00BF3619">
        <w:rPr>
          <w:rFonts w:ascii="Arial" w:eastAsia="Times New Roman" w:hAnsi="Arial" w:cs="Arial"/>
          <w:sz w:val="24"/>
          <w:lang w:val="es-CO" w:eastAsia="es-ES"/>
        </w:rPr>
        <w:t xml:space="preserve">n de </w:t>
      </w:r>
      <w:r w:rsidRPr="009C7362">
        <w:rPr>
          <w:rFonts w:ascii="Arial" w:eastAsia="Times New Roman" w:hAnsi="Arial" w:cs="Arial"/>
          <w:sz w:val="24"/>
          <w:lang w:val="es-CO" w:eastAsia="es-ES"/>
        </w:rPr>
        <w:t>Calidad frente a los requisitos de las normas</w:t>
      </w:r>
      <w:r w:rsidR="00DB659A">
        <w:rPr>
          <w:rFonts w:ascii="Arial" w:eastAsia="Times New Roman" w:hAnsi="Arial" w:cs="Arial"/>
          <w:sz w:val="24"/>
          <w:lang w:val="es-CO" w:eastAsia="es-ES"/>
        </w:rPr>
        <w:t xml:space="preserve"> NTCGP 1000:2009, </w:t>
      </w:r>
      <w:r w:rsidR="00DB659A" w:rsidRPr="00DB659A">
        <w:rPr>
          <w:rFonts w:ascii="Arial" w:eastAsia="Times New Roman" w:hAnsi="Arial" w:cs="Arial"/>
          <w:szCs w:val="24"/>
          <w:lang w:val="es-CO" w:eastAsia="es-ES"/>
        </w:rPr>
        <w:t xml:space="preserve"> </w:t>
      </w:r>
      <w:r w:rsidR="00DB659A" w:rsidRPr="00DB659A">
        <w:rPr>
          <w:rFonts w:ascii="Arial" w:eastAsia="Times New Roman" w:hAnsi="Arial" w:cs="Arial"/>
          <w:sz w:val="24"/>
          <w:lang w:val="es-CO" w:eastAsia="es-ES"/>
        </w:rPr>
        <w:t>requisitos del Modelo Estándar de Control Interno para el Estado Colombiano – MECI 1000:2005</w:t>
      </w:r>
      <w:r w:rsidR="00DB659A">
        <w:rPr>
          <w:rFonts w:ascii="Arial" w:eastAsia="Times New Roman" w:hAnsi="Arial" w:cs="Arial"/>
          <w:sz w:val="24"/>
          <w:lang w:val="es-CO" w:eastAsia="es-ES"/>
        </w:rPr>
        <w:t xml:space="preserve"> y</w:t>
      </w:r>
      <w:r w:rsidR="00DB659A" w:rsidRPr="00DB659A">
        <w:rPr>
          <w:rFonts w:ascii="Arial" w:eastAsia="Times New Roman" w:hAnsi="Arial" w:cs="Arial"/>
          <w:sz w:val="24"/>
          <w:lang w:val="es-CO" w:eastAsia="es-ES"/>
        </w:rPr>
        <w:t xml:space="preserve"> requisitos Legales.</w:t>
      </w:r>
    </w:p>
    <w:p w:rsidR="00DB659A" w:rsidRPr="00DB659A" w:rsidRDefault="00DB659A" w:rsidP="00DB659A">
      <w:pPr>
        <w:pStyle w:val="Prrafodelista"/>
        <w:autoSpaceDE w:val="0"/>
        <w:autoSpaceDN w:val="0"/>
        <w:adjustRightInd w:val="0"/>
        <w:spacing w:after="0" w:line="240" w:lineRule="auto"/>
        <w:ind w:left="850"/>
        <w:jc w:val="both"/>
        <w:rPr>
          <w:rFonts w:ascii="Arial" w:eastAsia="Times New Roman" w:hAnsi="Arial" w:cs="Arial"/>
          <w:sz w:val="24"/>
          <w:lang w:val="es-CO" w:eastAsia="es-ES"/>
        </w:rPr>
      </w:pPr>
    </w:p>
    <w:p w:rsidR="00296C1F" w:rsidRPr="009E05F6" w:rsidRDefault="00296C1F" w:rsidP="00296C1F">
      <w:pPr>
        <w:numPr>
          <w:ilvl w:val="0"/>
          <w:numId w:val="5"/>
        </w:numPr>
        <w:autoSpaceDE w:val="0"/>
        <w:autoSpaceDN w:val="0"/>
        <w:adjustRightInd w:val="0"/>
        <w:spacing w:after="0" w:line="240" w:lineRule="auto"/>
        <w:contextualSpacing/>
        <w:jc w:val="both"/>
        <w:rPr>
          <w:rFonts w:ascii="Arial" w:eastAsia="Times New Roman" w:hAnsi="Arial" w:cs="Arial"/>
          <w:sz w:val="24"/>
          <w:lang w:val="es-CO" w:eastAsia="es-ES"/>
        </w:rPr>
      </w:pPr>
      <w:r w:rsidRPr="009E05F6">
        <w:rPr>
          <w:rFonts w:ascii="Arial" w:eastAsia="Times New Roman" w:hAnsi="Arial" w:cs="Arial"/>
          <w:sz w:val="24"/>
          <w:lang w:val="es-CO" w:eastAsia="es-ES"/>
        </w:rPr>
        <w:t>Se cumplió con el 100% de las audit</w:t>
      </w:r>
      <w:r w:rsidR="004273AB">
        <w:rPr>
          <w:rFonts w:ascii="Arial" w:eastAsia="Times New Roman" w:hAnsi="Arial" w:cs="Arial"/>
          <w:sz w:val="24"/>
          <w:lang w:val="es-CO" w:eastAsia="es-ES"/>
        </w:rPr>
        <w:t>orías programadas para el primer trimestre del 2015</w:t>
      </w:r>
      <w:r w:rsidRPr="009E05F6">
        <w:rPr>
          <w:rFonts w:ascii="Arial" w:eastAsia="Times New Roman" w:hAnsi="Arial" w:cs="Arial"/>
          <w:sz w:val="24"/>
          <w:lang w:val="es-CO" w:eastAsia="es-ES"/>
        </w:rPr>
        <w:t xml:space="preserve">, todas fueron registradas en el aplicativo de ISolución. Se anexó un informe detallado para cada auditoría realizada. </w:t>
      </w:r>
    </w:p>
    <w:p w:rsidR="00296C1F" w:rsidRPr="009E05F6" w:rsidRDefault="00296C1F" w:rsidP="00296C1F">
      <w:pPr>
        <w:autoSpaceDE w:val="0"/>
        <w:autoSpaceDN w:val="0"/>
        <w:adjustRightInd w:val="0"/>
        <w:spacing w:after="0" w:line="240" w:lineRule="auto"/>
        <w:ind w:left="780"/>
        <w:contextualSpacing/>
        <w:jc w:val="both"/>
        <w:rPr>
          <w:rFonts w:ascii="Arial" w:eastAsia="Times New Roman" w:hAnsi="Arial" w:cs="Arial"/>
          <w:sz w:val="24"/>
          <w:lang w:val="es-CO" w:eastAsia="es-ES"/>
        </w:rPr>
      </w:pPr>
    </w:p>
    <w:p w:rsidR="00296C1F" w:rsidRDefault="00296C1F" w:rsidP="00296C1F">
      <w:pPr>
        <w:numPr>
          <w:ilvl w:val="0"/>
          <w:numId w:val="5"/>
        </w:numPr>
        <w:autoSpaceDE w:val="0"/>
        <w:autoSpaceDN w:val="0"/>
        <w:adjustRightInd w:val="0"/>
        <w:spacing w:after="0" w:line="240" w:lineRule="auto"/>
        <w:contextualSpacing/>
        <w:jc w:val="both"/>
        <w:rPr>
          <w:rFonts w:ascii="Arial" w:eastAsia="Times New Roman" w:hAnsi="Arial" w:cs="Arial"/>
          <w:sz w:val="24"/>
          <w:lang w:val="es-CO" w:eastAsia="es-ES"/>
        </w:rPr>
      </w:pPr>
      <w:r w:rsidRPr="009E05F6">
        <w:rPr>
          <w:rFonts w:ascii="Arial" w:eastAsia="Times New Roman" w:hAnsi="Arial" w:cs="Arial"/>
          <w:sz w:val="24"/>
          <w:lang w:val="es-CO" w:eastAsia="es-ES"/>
        </w:rPr>
        <w:t xml:space="preserve">De las Auditorías Internas SIG realizadas en el </w:t>
      </w:r>
      <w:r w:rsidR="005B3BB7">
        <w:rPr>
          <w:rFonts w:ascii="Arial" w:eastAsia="Times New Roman" w:hAnsi="Arial" w:cs="Arial"/>
          <w:sz w:val="24"/>
          <w:lang w:val="es-CO" w:eastAsia="es-ES"/>
        </w:rPr>
        <w:t xml:space="preserve">primer trimestre </w:t>
      </w:r>
      <w:r w:rsidR="004273AB">
        <w:rPr>
          <w:rFonts w:ascii="Arial" w:eastAsia="Times New Roman" w:hAnsi="Arial" w:cs="Arial"/>
          <w:sz w:val="24"/>
          <w:lang w:val="es-CO" w:eastAsia="es-ES"/>
        </w:rPr>
        <w:t>del 2015</w:t>
      </w:r>
      <w:r w:rsidR="0011640A">
        <w:rPr>
          <w:rFonts w:ascii="Arial" w:eastAsia="Times New Roman" w:hAnsi="Arial" w:cs="Arial"/>
          <w:sz w:val="24"/>
          <w:lang w:val="es-CO" w:eastAsia="es-ES"/>
        </w:rPr>
        <w:t xml:space="preserve"> se evidenciaron diez (10</w:t>
      </w:r>
      <w:r w:rsidRPr="009E05F6">
        <w:rPr>
          <w:rFonts w:ascii="Arial" w:eastAsia="Times New Roman" w:hAnsi="Arial" w:cs="Arial"/>
          <w:sz w:val="24"/>
          <w:lang w:val="es-CO" w:eastAsia="es-ES"/>
        </w:rPr>
        <w:t xml:space="preserve">) </w:t>
      </w:r>
      <w:r w:rsidR="005A48DD">
        <w:rPr>
          <w:rFonts w:ascii="Arial" w:eastAsia="Times New Roman" w:hAnsi="Arial" w:cs="Arial"/>
          <w:sz w:val="24"/>
          <w:lang w:val="es-CO" w:eastAsia="es-ES"/>
        </w:rPr>
        <w:t>no conformidades</w:t>
      </w:r>
      <w:r w:rsidR="0011640A">
        <w:rPr>
          <w:rFonts w:ascii="Arial" w:eastAsia="Times New Roman" w:hAnsi="Arial" w:cs="Arial"/>
          <w:sz w:val="24"/>
          <w:lang w:val="es-CO" w:eastAsia="es-ES"/>
        </w:rPr>
        <w:t xml:space="preserve"> </w:t>
      </w:r>
      <w:r w:rsidRPr="009E05F6">
        <w:rPr>
          <w:rFonts w:ascii="Arial" w:eastAsia="Times New Roman" w:hAnsi="Arial" w:cs="Arial"/>
          <w:sz w:val="24"/>
          <w:lang w:val="es-CO" w:eastAsia="es-ES"/>
        </w:rPr>
        <w:t>y die</w:t>
      </w:r>
      <w:r w:rsidR="0011640A">
        <w:rPr>
          <w:rFonts w:ascii="Arial" w:eastAsia="Times New Roman" w:hAnsi="Arial" w:cs="Arial"/>
          <w:sz w:val="24"/>
          <w:lang w:val="es-CO" w:eastAsia="es-ES"/>
        </w:rPr>
        <w:t>z (10</w:t>
      </w:r>
      <w:r w:rsidRPr="009E05F6">
        <w:rPr>
          <w:rFonts w:ascii="Arial" w:eastAsia="Times New Roman" w:hAnsi="Arial" w:cs="Arial"/>
          <w:sz w:val="24"/>
          <w:lang w:val="es-CO" w:eastAsia="es-ES"/>
        </w:rPr>
        <w:t>) oportunidades de mejora. Las principales causas se relacionaron en el acápite 4.1, y en general se debe a</w:t>
      </w:r>
      <w:r w:rsidR="000A3965">
        <w:rPr>
          <w:rFonts w:ascii="Arial" w:eastAsia="Times New Roman" w:hAnsi="Arial" w:cs="Arial"/>
          <w:sz w:val="24"/>
          <w:lang w:val="es-CO" w:eastAsia="es-ES"/>
        </w:rPr>
        <w:t xml:space="preserve"> </w:t>
      </w:r>
      <w:r w:rsidR="00DB659A">
        <w:rPr>
          <w:rFonts w:ascii="Arial" w:eastAsia="Times New Roman" w:hAnsi="Arial" w:cs="Arial"/>
          <w:sz w:val="24"/>
          <w:lang w:val="es-CO" w:eastAsia="es-ES"/>
        </w:rPr>
        <w:t>debilidades a</w:t>
      </w:r>
      <w:r w:rsidR="000A3965">
        <w:rPr>
          <w:rFonts w:ascii="Arial" w:eastAsia="Times New Roman" w:hAnsi="Arial" w:cs="Arial"/>
          <w:sz w:val="24"/>
          <w:lang w:val="es-CO" w:eastAsia="es-ES"/>
        </w:rPr>
        <w:t xml:space="preserve"> </w:t>
      </w:r>
      <w:r w:rsidRPr="009E05F6">
        <w:rPr>
          <w:rFonts w:ascii="Arial" w:eastAsia="Times New Roman" w:hAnsi="Arial" w:cs="Arial"/>
          <w:sz w:val="24"/>
          <w:lang w:val="es-CO" w:eastAsia="es-ES"/>
        </w:rPr>
        <w:t>lo establecido en</w:t>
      </w:r>
      <w:r w:rsidR="000A3965">
        <w:rPr>
          <w:rFonts w:ascii="Arial" w:eastAsia="Times New Roman" w:hAnsi="Arial" w:cs="Arial"/>
          <w:sz w:val="24"/>
          <w:lang w:val="es-CO" w:eastAsia="es-ES"/>
        </w:rPr>
        <w:t xml:space="preserve"> las caracterizaciones de los</w:t>
      </w:r>
      <w:r w:rsidRPr="009E05F6">
        <w:rPr>
          <w:rFonts w:ascii="Arial" w:eastAsia="Times New Roman" w:hAnsi="Arial" w:cs="Arial"/>
          <w:sz w:val="24"/>
          <w:lang w:val="es-CO" w:eastAsia="es-ES"/>
        </w:rPr>
        <w:t xml:space="preserve"> procesos y procedimientos, debilidades </w:t>
      </w:r>
      <w:r w:rsidR="005B3BB7">
        <w:rPr>
          <w:rFonts w:ascii="Arial" w:eastAsia="Times New Roman" w:hAnsi="Arial" w:cs="Arial"/>
          <w:sz w:val="24"/>
          <w:lang w:val="es-CO" w:eastAsia="es-ES"/>
        </w:rPr>
        <w:t>en la planeación de actividades</w:t>
      </w:r>
      <w:r w:rsidRPr="009E05F6">
        <w:rPr>
          <w:rFonts w:ascii="Arial" w:eastAsia="Times New Roman" w:hAnsi="Arial" w:cs="Arial"/>
          <w:sz w:val="24"/>
          <w:lang w:val="es-CO" w:eastAsia="es-ES"/>
        </w:rPr>
        <w:t xml:space="preserve"> </w:t>
      </w:r>
      <w:r w:rsidR="00DB659A">
        <w:rPr>
          <w:rFonts w:ascii="Arial" w:eastAsia="Times New Roman" w:hAnsi="Arial" w:cs="Arial"/>
          <w:sz w:val="24"/>
          <w:lang w:val="es-CO" w:eastAsia="es-ES"/>
        </w:rPr>
        <w:t>y</w:t>
      </w:r>
      <w:r w:rsidRPr="009E05F6">
        <w:rPr>
          <w:rFonts w:ascii="Arial" w:eastAsia="Times New Roman" w:hAnsi="Arial" w:cs="Arial"/>
          <w:sz w:val="24"/>
          <w:lang w:val="es-CO" w:eastAsia="es-ES"/>
        </w:rPr>
        <w:t xml:space="preserve"> las metas propuestas en el plan de acción. </w:t>
      </w:r>
    </w:p>
    <w:p w:rsidR="00BC39D2" w:rsidRDefault="00BC39D2" w:rsidP="00BC39D2">
      <w:pPr>
        <w:pStyle w:val="Prrafodelista"/>
        <w:rPr>
          <w:rFonts w:ascii="Arial" w:eastAsia="Times New Roman" w:hAnsi="Arial" w:cs="Arial"/>
          <w:sz w:val="24"/>
          <w:lang w:val="es-CO" w:eastAsia="es-ES"/>
        </w:rPr>
      </w:pPr>
    </w:p>
    <w:p w:rsidR="00BC39D2" w:rsidRDefault="00BC39D2" w:rsidP="00BC714A">
      <w:pPr>
        <w:pStyle w:val="Prrafodelista"/>
        <w:ind w:left="851"/>
        <w:rPr>
          <w:rFonts w:ascii="Arial" w:eastAsia="Times New Roman" w:hAnsi="Arial" w:cs="Arial"/>
          <w:sz w:val="24"/>
          <w:lang w:val="es-CO" w:eastAsia="es-ES"/>
        </w:rPr>
      </w:pPr>
      <w:r>
        <w:rPr>
          <w:rFonts w:ascii="Arial" w:eastAsia="Times New Roman" w:hAnsi="Arial" w:cs="Arial"/>
          <w:noProof/>
          <w:sz w:val="24"/>
          <w:lang w:val="es-CO" w:eastAsia="es-CO"/>
        </w:rPr>
        <w:drawing>
          <wp:inline distT="0" distB="0" distL="0" distR="0" wp14:anchorId="41AE438C">
            <wp:extent cx="5438775" cy="299300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9462" cy="2993387"/>
                    </a:xfrm>
                    <a:prstGeom prst="rect">
                      <a:avLst/>
                    </a:prstGeom>
                    <a:noFill/>
                  </pic:spPr>
                </pic:pic>
              </a:graphicData>
            </a:graphic>
          </wp:inline>
        </w:drawing>
      </w:r>
    </w:p>
    <w:p w:rsidR="00BC39D2" w:rsidRPr="000C05AE" w:rsidRDefault="00BC39D2" w:rsidP="00BC39D2">
      <w:pPr>
        <w:autoSpaceDE w:val="0"/>
        <w:autoSpaceDN w:val="0"/>
        <w:adjustRightInd w:val="0"/>
        <w:spacing w:after="0" w:line="240" w:lineRule="auto"/>
        <w:ind w:left="490"/>
        <w:jc w:val="center"/>
        <w:rPr>
          <w:rFonts w:ascii="Arial" w:eastAsiaTheme="minorEastAsia" w:hAnsi="Arial" w:cs="Arial"/>
          <w:b/>
          <w:color w:val="333333"/>
          <w:sz w:val="17"/>
          <w:szCs w:val="17"/>
        </w:rPr>
      </w:pPr>
      <w:r w:rsidRPr="000C05AE">
        <w:rPr>
          <w:rFonts w:ascii="Arial" w:eastAsiaTheme="minorEastAsia" w:hAnsi="Arial" w:cs="Arial"/>
          <w:b/>
          <w:color w:val="333333"/>
          <w:sz w:val="17"/>
          <w:szCs w:val="17"/>
        </w:rPr>
        <w:t>Gráfica 1.</w:t>
      </w:r>
    </w:p>
    <w:p w:rsidR="00BC39D2" w:rsidRDefault="00BC39D2" w:rsidP="00BC39D2">
      <w:pPr>
        <w:autoSpaceDE w:val="0"/>
        <w:autoSpaceDN w:val="0"/>
        <w:adjustRightInd w:val="0"/>
        <w:spacing w:after="0" w:line="240" w:lineRule="auto"/>
        <w:ind w:left="780"/>
        <w:contextualSpacing/>
        <w:jc w:val="both"/>
        <w:rPr>
          <w:rFonts w:ascii="Arial" w:eastAsia="Times New Roman" w:hAnsi="Arial" w:cs="Arial"/>
          <w:sz w:val="24"/>
          <w:lang w:val="es-CO" w:eastAsia="es-ES"/>
        </w:rPr>
      </w:pPr>
    </w:p>
    <w:p w:rsidR="00DB659A" w:rsidRDefault="007A70F1" w:rsidP="00296C1F">
      <w:pPr>
        <w:numPr>
          <w:ilvl w:val="0"/>
          <w:numId w:val="5"/>
        </w:numPr>
        <w:contextualSpacing/>
        <w:jc w:val="both"/>
        <w:rPr>
          <w:rFonts w:ascii="Arial" w:eastAsia="Times New Roman" w:hAnsi="Arial" w:cs="Arial"/>
          <w:sz w:val="24"/>
          <w:lang w:val="es-CO" w:eastAsia="es-ES"/>
        </w:rPr>
      </w:pPr>
      <w:r w:rsidRPr="00DB659A">
        <w:rPr>
          <w:rFonts w:ascii="Arial" w:eastAsia="Times New Roman" w:hAnsi="Arial" w:cs="Arial"/>
          <w:sz w:val="24"/>
          <w:lang w:val="es-CO" w:eastAsia="es-ES"/>
        </w:rPr>
        <w:lastRenderedPageBreak/>
        <w:t>Esta Oficina en</w:t>
      </w:r>
      <w:r w:rsidR="005161CA" w:rsidRPr="00DB659A">
        <w:rPr>
          <w:rFonts w:ascii="Arial" w:eastAsia="Times New Roman" w:hAnsi="Arial" w:cs="Arial"/>
          <w:sz w:val="24"/>
          <w:lang w:val="es-CO" w:eastAsia="es-ES"/>
        </w:rPr>
        <w:t xml:space="preserve"> cada</w:t>
      </w:r>
      <w:r w:rsidR="00296C1F" w:rsidRPr="00DB659A">
        <w:rPr>
          <w:rFonts w:ascii="Arial" w:eastAsia="Times New Roman" w:hAnsi="Arial" w:cs="Arial"/>
          <w:sz w:val="24"/>
          <w:lang w:val="es-CO" w:eastAsia="es-ES"/>
        </w:rPr>
        <w:t xml:space="preserve"> auditor</w:t>
      </w:r>
      <w:r w:rsidR="005161CA" w:rsidRPr="00DB659A">
        <w:rPr>
          <w:rFonts w:ascii="Arial" w:eastAsia="Times New Roman" w:hAnsi="Arial" w:cs="Arial"/>
          <w:sz w:val="24"/>
          <w:lang w:val="es-CO" w:eastAsia="es-ES"/>
        </w:rPr>
        <w:t>ía realizada</w:t>
      </w:r>
      <w:r w:rsidR="00296C1F" w:rsidRPr="00DB659A">
        <w:rPr>
          <w:rFonts w:ascii="Arial" w:eastAsia="Times New Roman" w:hAnsi="Arial" w:cs="Arial"/>
          <w:sz w:val="24"/>
          <w:lang w:val="es-CO" w:eastAsia="es-ES"/>
        </w:rPr>
        <w:t xml:space="preserve"> </w:t>
      </w:r>
      <w:r w:rsidRPr="00DB659A">
        <w:rPr>
          <w:rFonts w:ascii="Arial" w:eastAsia="Times New Roman" w:hAnsi="Arial" w:cs="Arial"/>
          <w:sz w:val="24"/>
          <w:lang w:val="es-CO" w:eastAsia="es-ES"/>
        </w:rPr>
        <w:t>hizo</w:t>
      </w:r>
      <w:r w:rsidR="00296C1F" w:rsidRPr="00DB659A">
        <w:rPr>
          <w:rFonts w:ascii="Arial" w:eastAsia="Times New Roman" w:hAnsi="Arial" w:cs="Arial"/>
          <w:sz w:val="24"/>
          <w:lang w:val="es-CO" w:eastAsia="es-ES"/>
        </w:rPr>
        <w:t xml:space="preserve"> las</w:t>
      </w:r>
      <w:r w:rsidR="005161CA" w:rsidRPr="00DB659A">
        <w:rPr>
          <w:rFonts w:ascii="Arial" w:eastAsia="Times New Roman" w:hAnsi="Arial" w:cs="Arial"/>
          <w:sz w:val="24"/>
          <w:lang w:val="es-CO" w:eastAsia="es-ES"/>
        </w:rPr>
        <w:t xml:space="preserve"> respectivas</w:t>
      </w:r>
      <w:r w:rsidR="00296C1F" w:rsidRPr="00DB659A">
        <w:rPr>
          <w:rFonts w:ascii="Arial" w:eastAsia="Times New Roman" w:hAnsi="Arial" w:cs="Arial"/>
          <w:sz w:val="24"/>
          <w:lang w:val="es-CO" w:eastAsia="es-ES"/>
        </w:rPr>
        <w:t xml:space="preserve"> recomendaciones</w:t>
      </w:r>
      <w:r w:rsidR="001354F7" w:rsidRPr="00DB659A">
        <w:rPr>
          <w:rFonts w:ascii="Arial" w:eastAsia="Times New Roman" w:hAnsi="Arial" w:cs="Arial"/>
          <w:sz w:val="24"/>
          <w:lang w:val="es-CO" w:eastAsia="es-ES"/>
        </w:rPr>
        <w:t xml:space="preserve"> a que hub</w:t>
      </w:r>
      <w:r w:rsidR="00410584">
        <w:rPr>
          <w:rFonts w:ascii="Arial" w:eastAsia="Times New Roman" w:hAnsi="Arial" w:cs="Arial"/>
          <w:sz w:val="24"/>
          <w:lang w:val="es-CO" w:eastAsia="es-ES"/>
        </w:rPr>
        <w:t>o</w:t>
      </w:r>
      <w:bookmarkStart w:id="0" w:name="_GoBack"/>
      <w:bookmarkEnd w:id="0"/>
      <w:r w:rsidR="009071AF" w:rsidRPr="00DB659A">
        <w:rPr>
          <w:rFonts w:ascii="Arial" w:eastAsia="Times New Roman" w:hAnsi="Arial" w:cs="Arial"/>
          <w:sz w:val="24"/>
          <w:lang w:val="es-CO" w:eastAsia="es-ES"/>
        </w:rPr>
        <w:t xml:space="preserve"> </w:t>
      </w:r>
      <w:r w:rsidR="001354F7" w:rsidRPr="00DB659A">
        <w:rPr>
          <w:rFonts w:ascii="Arial" w:eastAsia="Times New Roman" w:hAnsi="Arial" w:cs="Arial"/>
          <w:sz w:val="24"/>
          <w:lang w:val="es-CO" w:eastAsia="es-ES"/>
        </w:rPr>
        <w:t>lugar.</w:t>
      </w:r>
    </w:p>
    <w:p w:rsidR="00DB659A" w:rsidRDefault="00DB659A" w:rsidP="00DB659A">
      <w:pPr>
        <w:ind w:left="780"/>
        <w:contextualSpacing/>
        <w:jc w:val="both"/>
        <w:rPr>
          <w:rFonts w:ascii="Arial" w:eastAsia="Times New Roman" w:hAnsi="Arial" w:cs="Arial"/>
          <w:sz w:val="24"/>
          <w:lang w:val="es-CO" w:eastAsia="es-ES"/>
        </w:rPr>
      </w:pPr>
    </w:p>
    <w:p w:rsidR="00296C1F" w:rsidRPr="00DB659A" w:rsidRDefault="005161CA" w:rsidP="00296C1F">
      <w:pPr>
        <w:numPr>
          <w:ilvl w:val="0"/>
          <w:numId w:val="5"/>
        </w:numPr>
        <w:contextualSpacing/>
        <w:jc w:val="both"/>
        <w:rPr>
          <w:rFonts w:ascii="Arial" w:eastAsia="Times New Roman" w:hAnsi="Arial" w:cs="Arial"/>
          <w:sz w:val="24"/>
          <w:lang w:val="es-CO" w:eastAsia="es-ES"/>
        </w:rPr>
      </w:pPr>
      <w:r w:rsidRPr="00DB659A">
        <w:rPr>
          <w:rFonts w:ascii="Arial" w:eastAsia="Times New Roman" w:hAnsi="Arial" w:cs="Arial"/>
          <w:sz w:val="24"/>
          <w:lang w:val="es-CO" w:eastAsia="es-ES"/>
        </w:rPr>
        <w:t>Se</w:t>
      </w:r>
      <w:r w:rsidR="005B3BB7" w:rsidRPr="00DB659A">
        <w:rPr>
          <w:rFonts w:ascii="Arial" w:eastAsia="Times New Roman" w:hAnsi="Arial" w:cs="Arial"/>
          <w:sz w:val="24"/>
          <w:lang w:val="es-CO" w:eastAsia="es-ES"/>
        </w:rPr>
        <w:t xml:space="preserve"> hace seguimiento</w:t>
      </w:r>
      <w:r w:rsidR="00296C1F" w:rsidRPr="00DB659A">
        <w:rPr>
          <w:rFonts w:ascii="Arial" w:eastAsia="Times New Roman" w:hAnsi="Arial" w:cs="Arial"/>
          <w:sz w:val="24"/>
          <w:lang w:val="es-CO" w:eastAsia="es-ES"/>
        </w:rPr>
        <w:t xml:space="preserve"> a los planes de mejoramiento suscritos por parte de l</w:t>
      </w:r>
      <w:r w:rsidRPr="00DB659A">
        <w:rPr>
          <w:rFonts w:ascii="Arial" w:eastAsia="Times New Roman" w:hAnsi="Arial" w:cs="Arial"/>
          <w:sz w:val="24"/>
          <w:lang w:val="es-CO" w:eastAsia="es-ES"/>
        </w:rPr>
        <w:t>os responsables de los procesos</w:t>
      </w:r>
      <w:r w:rsidR="00DB659A" w:rsidRPr="00DB659A">
        <w:rPr>
          <w:rFonts w:ascii="Arial" w:eastAsia="Times New Roman" w:hAnsi="Arial" w:cs="Arial"/>
          <w:sz w:val="24"/>
          <w:lang w:val="es-CO" w:eastAsia="es-ES"/>
        </w:rPr>
        <w:t>.</w:t>
      </w:r>
    </w:p>
    <w:p w:rsidR="00296C1F" w:rsidRDefault="00296C1F" w:rsidP="00296C1F">
      <w:pPr>
        <w:spacing w:after="0" w:line="240" w:lineRule="auto"/>
        <w:ind w:firstLine="360"/>
        <w:rPr>
          <w:rFonts w:ascii="Arial" w:eastAsia="Times New Roman" w:hAnsi="Arial" w:cs="Arial"/>
          <w:sz w:val="24"/>
          <w:lang w:val="es-CO" w:eastAsia="es-ES"/>
        </w:rPr>
      </w:pPr>
    </w:p>
    <w:p w:rsidR="00A003FE" w:rsidRDefault="00A003FE" w:rsidP="00296C1F">
      <w:pPr>
        <w:spacing w:after="0" w:line="240" w:lineRule="auto"/>
        <w:ind w:firstLine="360"/>
        <w:rPr>
          <w:rFonts w:ascii="Arial" w:eastAsia="Times New Roman" w:hAnsi="Arial" w:cs="Arial"/>
          <w:sz w:val="24"/>
          <w:lang w:val="es-CO" w:eastAsia="es-ES"/>
        </w:rPr>
      </w:pPr>
    </w:p>
    <w:p w:rsidR="00296C1F" w:rsidRDefault="00296C1F" w:rsidP="00296C1F">
      <w:pPr>
        <w:spacing w:after="0" w:line="240" w:lineRule="auto"/>
        <w:ind w:firstLine="360"/>
        <w:rPr>
          <w:rFonts w:ascii="Arial" w:eastAsia="Times New Roman" w:hAnsi="Arial" w:cs="Arial"/>
          <w:sz w:val="24"/>
          <w:lang w:val="es-CO" w:eastAsia="es-ES"/>
        </w:rPr>
      </w:pPr>
    </w:p>
    <w:p w:rsidR="00296C1F" w:rsidRPr="009E05F6" w:rsidRDefault="00296C1F" w:rsidP="00296C1F">
      <w:pPr>
        <w:spacing w:after="0" w:line="240" w:lineRule="auto"/>
        <w:rPr>
          <w:rFonts w:ascii="Arial" w:eastAsia="Times New Roman" w:hAnsi="Arial" w:cs="Arial"/>
          <w:b/>
          <w:sz w:val="24"/>
          <w:lang w:val="es-CO" w:eastAsia="es-ES"/>
        </w:rPr>
      </w:pPr>
      <w:r w:rsidRPr="009E05F6">
        <w:rPr>
          <w:rFonts w:ascii="Arial" w:eastAsia="Times New Roman" w:hAnsi="Arial" w:cs="Arial"/>
          <w:b/>
          <w:sz w:val="24"/>
          <w:lang w:val="es-CO" w:eastAsia="es-ES"/>
        </w:rPr>
        <w:t xml:space="preserve">6. RECOMENDACIONES </w:t>
      </w:r>
    </w:p>
    <w:p w:rsidR="00296C1F" w:rsidRDefault="00296C1F" w:rsidP="00296C1F">
      <w:pPr>
        <w:spacing w:after="0" w:line="240" w:lineRule="auto"/>
        <w:rPr>
          <w:rFonts w:ascii="Arial" w:eastAsia="Times New Roman" w:hAnsi="Arial" w:cs="Arial"/>
          <w:sz w:val="24"/>
          <w:lang w:val="es-CO" w:eastAsia="es-ES"/>
        </w:rPr>
      </w:pPr>
    </w:p>
    <w:p w:rsidR="007A70F1" w:rsidRDefault="007A70F1" w:rsidP="007A70F1">
      <w:pPr>
        <w:spacing w:line="240" w:lineRule="auto"/>
        <w:ind w:left="720"/>
        <w:contextualSpacing/>
        <w:jc w:val="both"/>
        <w:rPr>
          <w:rFonts w:ascii="Arial" w:eastAsia="Times New Roman" w:hAnsi="Arial" w:cs="Arial"/>
          <w:sz w:val="24"/>
          <w:lang w:val="es-CO" w:eastAsia="es-ES"/>
        </w:rPr>
      </w:pPr>
    </w:p>
    <w:p w:rsidR="00296C1F" w:rsidRDefault="00296C1F" w:rsidP="00296C1F">
      <w:pPr>
        <w:numPr>
          <w:ilvl w:val="0"/>
          <w:numId w:val="6"/>
        </w:numPr>
        <w:spacing w:line="240" w:lineRule="auto"/>
        <w:ind w:left="714" w:hanging="357"/>
        <w:contextualSpacing/>
        <w:jc w:val="both"/>
        <w:rPr>
          <w:rFonts w:ascii="Arial" w:eastAsia="Times New Roman" w:hAnsi="Arial" w:cs="Arial"/>
          <w:sz w:val="24"/>
          <w:lang w:val="es-CO" w:eastAsia="es-ES"/>
        </w:rPr>
      </w:pPr>
      <w:r w:rsidRPr="009E05F6">
        <w:rPr>
          <w:rFonts w:ascii="Arial" w:eastAsia="Times New Roman" w:hAnsi="Arial" w:cs="Arial"/>
          <w:sz w:val="24"/>
          <w:lang w:val="es-CO" w:eastAsia="es-ES"/>
        </w:rPr>
        <w:t>Se recomienda</w:t>
      </w:r>
      <w:r w:rsidR="009071AF">
        <w:rPr>
          <w:rFonts w:ascii="Arial" w:eastAsia="Times New Roman" w:hAnsi="Arial" w:cs="Arial"/>
          <w:sz w:val="24"/>
          <w:lang w:val="es-CO" w:eastAsia="es-ES"/>
        </w:rPr>
        <w:t xml:space="preserve"> a los funcionarios verificar la</w:t>
      </w:r>
      <w:r w:rsidRPr="009E05F6">
        <w:rPr>
          <w:rFonts w:ascii="Arial" w:eastAsia="Times New Roman" w:hAnsi="Arial" w:cs="Arial"/>
          <w:sz w:val="24"/>
          <w:lang w:val="es-CO" w:eastAsia="es-ES"/>
        </w:rPr>
        <w:t>s</w:t>
      </w:r>
      <w:r w:rsidR="009071AF">
        <w:rPr>
          <w:rFonts w:ascii="Arial" w:eastAsia="Times New Roman" w:hAnsi="Arial" w:cs="Arial"/>
          <w:sz w:val="24"/>
          <w:lang w:val="es-CO" w:eastAsia="es-ES"/>
        </w:rPr>
        <w:t xml:space="preserve"> caracterizaciones de los</w:t>
      </w:r>
      <w:r w:rsidRPr="009E05F6">
        <w:rPr>
          <w:rFonts w:ascii="Arial" w:eastAsia="Times New Roman" w:hAnsi="Arial" w:cs="Arial"/>
          <w:sz w:val="24"/>
          <w:lang w:val="es-CO" w:eastAsia="es-ES"/>
        </w:rPr>
        <w:t xml:space="preserve"> procesos y procedimient</w:t>
      </w:r>
      <w:r w:rsidR="005A48DD">
        <w:rPr>
          <w:rFonts w:ascii="Arial" w:eastAsia="Times New Roman" w:hAnsi="Arial" w:cs="Arial"/>
          <w:sz w:val="24"/>
          <w:lang w:val="es-CO" w:eastAsia="es-ES"/>
        </w:rPr>
        <w:t xml:space="preserve">os, con el fin de disminuir las no conformidades </w:t>
      </w:r>
      <w:r w:rsidRPr="009E05F6">
        <w:rPr>
          <w:rFonts w:ascii="Arial" w:eastAsia="Times New Roman" w:hAnsi="Arial" w:cs="Arial"/>
          <w:sz w:val="24"/>
          <w:lang w:val="es-CO" w:eastAsia="es-ES"/>
        </w:rPr>
        <w:t xml:space="preserve">y oportunidades de mejora que se presentan como resultado de las Auditorías Internas del Sistema Integrado de Gestión Calidad. </w:t>
      </w:r>
    </w:p>
    <w:p w:rsidR="00DB659A" w:rsidRDefault="00DB659A" w:rsidP="00DB659A">
      <w:pPr>
        <w:spacing w:line="240" w:lineRule="auto"/>
        <w:contextualSpacing/>
        <w:jc w:val="both"/>
        <w:rPr>
          <w:rFonts w:ascii="Arial" w:eastAsia="Times New Roman" w:hAnsi="Arial" w:cs="Arial"/>
          <w:sz w:val="24"/>
          <w:lang w:val="es-CO" w:eastAsia="es-ES"/>
        </w:rPr>
      </w:pPr>
    </w:p>
    <w:p w:rsidR="00DB659A" w:rsidRDefault="00DB659A" w:rsidP="00DB659A">
      <w:pPr>
        <w:numPr>
          <w:ilvl w:val="0"/>
          <w:numId w:val="6"/>
        </w:numPr>
        <w:spacing w:line="240" w:lineRule="auto"/>
        <w:contextualSpacing/>
        <w:jc w:val="both"/>
        <w:rPr>
          <w:rFonts w:ascii="Arial" w:eastAsia="Times New Roman" w:hAnsi="Arial" w:cs="Arial"/>
          <w:sz w:val="24"/>
          <w:lang w:val="es-CO" w:eastAsia="es-ES"/>
        </w:rPr>
      </w:pPr>
      <w:r>
        <w:rPr>
          <w:rFonts w:ascii="Arial" w:eastAsia="Times New Roman" w:hAnsi="Arial" w:cs="Arial"/>
          <w:sz w:val="24"/>
          <w:lang w:val="es-CO" w:eastAsia="es-ES"/>
        </w:rPr>
        <w:t>Se recomienda g</w:t>
      </w:r>
      <w:r w:rsidRPr="007A70F1">
        <w:rPr>
          <w:rFonts w:ascii="Arial" w:eastAsia="Times New Roman" w:hAnsi="Arial" w:cs="Arial"/>
          <w:sz w:val="24"/>
          <w:lang w:val="es-CO" w:eastAsia="es-ES"/>
        </w:rPr>
        <w:t>enerar acciones correctivas y preventivas con un adecuado análisis de causas, para eliminar la</w:t>
      </w:r>
      <w:r>
        <w:rPr>
          <w:rFonts w:ascii="Arial" w:eastAsia="Times New Roman" w:hAnsi="Arial" w:cs="Arial"/>
          <w:sz w:val="24"/>
          <w:lang w:val="es-CO" w:eastAsia="es-ES"/>
        </w:rPr>
        <w:t>s</w:t>
      </w:r>
      <w:r w:rsidRPr="007A70F1">
        <w:rPr>
          <w:rFonts w:ascii="Arial" w:eastAsia="Times New Roman" w:hAnsi="Arial" w:cs="Arial"/>
          <w:sz w:val="24"/>
          <w:lang w:val="es-CO" w:eastAsia="es-ES"/>
        </w:rPr>
        <w:t xml:space="preserve"> causa</w:t>
      </w:r>
      <w:r>
        <w:rPr>
          <w:rFonts w:ascii="Arial" w:eastAsia="Times New Roman" w:hAnsi="Arial" w:cs="Arial"/>
          <w:sz w:val="24"/>
          <w:lang w:val="es-CO" w:eastAsia="es-ES"/>
        </w:rPr>
        <w:t>s</w:t>
      </w:r>
      <w:r w:rsidRPr="007A70F1">
        <w:rPr>
          <w:rFonts w:ascii="Arial" w:eastAsia="Times New Roman" w:hAnsi="Arial" w:cs="Arial"/>
          <w:sz w:val="24"/>
          <w:lang w:val="es-CO" w:eastAsia="es-ES"/>
        </w:rPr>
        <w:t xml:space="preserve"> de las no conformidades presentadas</w:t>
      </w:r>
      <w:r>
        <w:rPr>
          <w:rFonts w:ascii="Arial" w:eastAsia="Times New Roman" w:hAnsi="Arial" w:cs="Arial"/>
          <w:sz w:val="24"/>
          <w:lang w:val="es-CO" w:eastAsia="es-ES"/>
        </w:rPr>
        <w:t>.</w:t>
      </w:r>
    </w:p>
    <w:p w:rsidR="00DB659A" w:rsidRPr="009E05F6" w:rsidRDefault="00DB659A" w:rsidP="00DB659A">
      <w:pPr>
        <w:spacing w:line="240" w:lineRule="auto"/>
        <w:contextualSpacing/>
        <w:jc w:val="both"/>
        <w:rPr>
          <w:rFonts w:ascii="Arial" w:eastAsia="Times New Roman" w:hAnsi="Arial" w:cs="Arial"/>
          <w:sz w:val="24"/>
          <w:lang w:val="es-CO" w:eastAsia="es-ES"/>
        </w:rPr>
      </w:pPr>
    </w:p>
    <w:p w:rsidR="00296C1F" w:rsidRPr="00DB659A" w:rsidRDefault="00296C1F" w:rsidP="00296C1F">
      <w:pPr>
        <w:numPr>
          <w:ilvl w:val="0"/>
          <w:numId w:val="6"/>
        </w:numPr>
        <w:spacing w:line="240" w:lineRule="auto"/>
        <w:ind w:left="714" w:hanging="357"/>
        <w:contextualSpacing/>
        <w:jc w:val="both"/>
        <w:rPr>
          <w:rFonts w:ascii="Arial" w:eastAsia="Times New Roman" w:hAnsi="Arial" w:cs="Arial"/>
          <w:sz w:val="24"/>
          <w:lang w:val="es-CO" w:eastAsia="es-ES"/>
        </w:rPr>
      </w:pPr>
      <w:r w:rsidRPr="00DB659A">
        <w:rPr>
          <w:rFonts w:ascii="Arial" w:eastAsia="Times New Roman" w:hAnsi="Arial" w:cs="Arial"/>
          <w:sz w:val="24"/>
          <w:lang w:val="es-CO" w:eastAsia="es-ES"/>
        </w:rPr>
        <w:t>Se recomienda tener en cuenta los riesgos y los controles al interior de los procesos con el fin de poder cumplir con los objetivos</w:t>
      </w:r>
      <w:r w:rsidR="00DB659A">
        <w:rPr>
          <w:rFonts w:ascii="Arial" w:eastAsia="Times New Roman" w:hAnsi="Arial" w:cs="Arial"/>
          <w:sz w:val="24"/>
          <w:lang w:val="es-CO" w:eastAsia="es-ES"/>
        </w:rPr>
        <w:t xml:space="preserve"> y metas planteada</w:t>
      </w:r>
      <w:r w:rsidRPr="00DB659A">
        <w:rPr>
          <w:rFonts w:ascii="Arial" w:eastAsia="Times New Roman" w:hAnsi="Arial" w:cs="Arial"/>
          <w:sz w:val="24"/>
          <w:lang w:val="es-CO" w:eastAsia="es-ES"/>
        </w:rPr>
        <w:t>s.</w:t>
      </w:r>
    </w:p>
    <w:p w:rsidR="00296C1F" w:rsidRPr="009E05F6" w:rsidRDefault="00296C1F" w:rsidP="00296C1F">
      <w:pPr>
        <w:ind w:left="720"/>
        <w:contextualSpacing/>
        <w:rPr>
          <w:rFonts w:ascii="Arial" w:eastAsia="Times New Roman" w:hAnsi="Arial" w:cs="Arial"/>
          <w:sz w:val="24"/>
          <w:lang w:val="es-CO" w:eastAsia="es-ES"/>
        </w:rPr>
      </w:pPr>
    </w:p>
    <w:p w:rsidR="00296C1F" w:rsidRPr="009E05F6" w:rsidRDefault="00296C1F" w:rsidP="00296C1F">
      <w:pPr>
        <w:numPr>
          <w:ilvl w:val="0"/>
          <w:numId w:val="6"/>
        </w:numPr>
        <w:spacing w:line="240" w:lineRule="auto"/>
        <w:contextualSpacing/>
        <w:jc w:val="both"/>
        <w:rPr>
          <w:rFonts w:ascii="Arial" w:eastAsia="Times New Roman" w:hAnsi="Arial" w:cs="Arial"/>
          <w:sz w:val="24"/>
          <w:lang w:val="es-CO" w:eastAsia="es-ES"/>
        </w:rPr>
      </w:pPr>
      <w:r w:rsidRPr="009E05F6">
        <w:rPr>
          <w:rFonts w:ascii="Arial" w:eastAsia="Times New Roman" w:hAnsi="Arial" w:cs="Arial"/>
          <w:sz w:val="24"/>
          <w:lang w:val="es-CO" w:eastAsia="es-ES"/>
        </w:rPr>
        <w:t>Se recomienda a los funcionarios interiorizar la cultura del Autocontrol como estrategia válida que permite y garantiza maximizar la eficiencia y eficacia de cada uno de los procesos que se adelantan al interior de la entidad.</w:t>
      </w:r>
    </w:p>
    <w:p w:rsidR="00296C1F" w:rsidRPr="009E05F6" w:rsidRDefault="00296C1F" w:rsidP="00296C1F">
      <w:pPr>
        <w:ind w:left="720"/>
        <w:contextualSpacing/>
        <w:rPr>
          <w:rFonts w:ascii="Arial" w:eastAsia="Times New Roman" w:hAnsi="Arial" w:cs="Arial"/>
          <w:sz w:val="24"/>
          <w:lang w:val="es-CO" w:eastAsia="es-ES"/>
        </w:rPr>
      </w:pPr>
    </w:p>
    <w:p w:rsidR="00296C1F" w:rsidRPr="009E05F6" w:rsidRDefault="00296C1F" w:rsidP="00296C1F">
      <w:pPr>
        <w:spacing w:after="0" w:line="240" w:lineRule="auto"/>
        <w:ind w:left="-142"/>
        <w:rPr>
          <w:rFonts w:ascii="Arial" w:eastAsia="Times New Roman" w:hAnsi="Arial" w:cs="Arial"/>
          <w:sz w:val="24"/>
          <w:lang w:val="es-CO" w:eastAsia="es-ES"/>
        </w:rPr>
      </w:pPr>
      <w:r w:rsidRPr="009E05F6">
        <w:rPr>
          <w:rFonts w:ascii="Arial" w:eastAsia="Times New Roman" w:hAnsi="Arial" w:cs="Arial"/>
          <w:sz w:val="24"/>
          <w:lang w:val="es-CO" w:eastAsia="es-ES"/>
        </w:rPr>
        <w:tab/>
        <w:t xml:space="preserve"> </w:t>
      </w:r>
    </w:p>
    <w:p w:rsidR="00296C1F" w:rsidRPr="009E05F6" w:rsidRDefault="00296C1F" w:rsidP="00296C1F">
      <w:pPr>
        <w:spacing w:after="0" w:line="240" w:lineRule="auto"/>
        <w:ind w:left="-142"/>
        <w:rPr>
          <w:rFonts w:ascii="Arial" w:eastAsia="Times New Roman" w:hAnsi="Arial" w:cs="Arial"/>
          <w:sz w:val="24"/>
          <w:lang w:val="es-CO" w:eastAsia="es-ES"/>
        </w:rPr>
      </w:pPr>
    </w:p>
    <w:p w:rsidR="00296C1F" w:rsidRDefault="00296C1F" w:rsidP="00296C1F">
      <w:pPr>
        <w:spacing w:after="0" w:line="240" w:lineRule="auto"/>
        <w:ind w:left="-142"/>
        <w:rPr>
          <w:rFonts w:ascii="Arial" w:eastAsia="Times New Roman" w:hAnsi="Arial" w:cs="Arial"/>
          <w:sz w:val="24"/>
          <w:lang w:val="es-CO" w:eastAsia="es-ES"/>
        </w:rPr>
      </w:pPr>
    </w:p>
    <w:p w:rsidR="00050B79" w:rsidRDefault="00050B79" w:rsidP="00296C1F">
      <w:pPr>
        <w:spacing w:after="0" w:line="240" w:lineRule="auto"/>
        <w:ind w:left="-142"/>
        <w:rPr>
          <w:rFonts w:ascii="Arial" w:eastAsia="Times New Roman" w:hAnsi="Arial" w:cs="Arial"/>
          <w:sz w:val="24"/>
          <w:lang w:val="es-CO" w:eastAsia="es-ES"/>
        </w:rPr>
      </w:pPr>
    </w:p>
    <w:p w:rsidR="00E81F34" w:rsidRDefault="00E81F34" w:rsidP="00296C1F">
      <w:pPr>
        <w:spacing w:after="0" w:line="240" w:lineRule="auto"/>
        <w:ind w:left="-142"/>
        <w:rPr>
          <w:rFonts w:ascii="Arial" w:eastAsia="Times New Roman" w:hAnsi="Arial" w:cs="Arial"/>
          <w:sz w:val="24"/>
          <w:lang w:val="es-CO" w:eastAsia="es-ES"/>
        </w:rPr>
      </w:pPr>
    </w:p>
    <w:p w:rsidR="00296C1F" w:rsidRPr="009E05F6" w:rsidRDefault="006C530F" w:rsidP="00296C1F">
      <w:pPr>
        <w:spacing w:after="0" w:line="240" w:lineRule="auto"/>
        <w:ind w:left="-142"/>
        <w:rPr>
          <w:rFonts w:ascii="Arial" w:eastAsia="Times New Roman" w:hAnsi="Arial" w:cs="Arial"/>
          <w:b/>
          <w:sz w:val="24"/>
          <w:lang w:val="es-CO" w:eastAsia="es-ES"/>
        </w:rPr>
      </w:pPr>
      <w:r>
        <w:rPr>
          <w:rFonts w:ascii="Arial" w:eastAsia="Times New Roman" w:hAnsi="Arial" w:cs="Arial"/>
          <w:b/>
          <w:sz w:val="24"/>
          <w:lang w:val="es-CO" w:eastAsia="es-ES"/>
        </w:rPr>
        <w:t>JOSE</w:t>
      </w:r>
      <w:r w:rsidR="00296C1F" w:rsidRPr="009E05F6">
        <w:rPr>
          <w:rFonts w:ascii="Arial" w:eastAsia="Times New Roman" w:hAnsi="Arial" w:cs="Arial"/>
          <w:b/>
          <w:sz w:val="24"/>
          <w:lang w:val="es-CO" w:eastAsia="es-ES"/>
        </w:rPr>
        <w:t xml:space="preserve"> WILLIAM CASALLAS FANDIÑO</w:t>
      </w:r>
    </w:p>
    <w:p w:rsidR="00296C1F" w:rsidRPr="009E05F6" w:rsidRDefault="00296C1F" w:rsidP="00296C1F">
      <w:pPr>
        <w:spacing w:after="0" w:line="240" w:lineRule="auto"/>
        <w:ind w:hanging="142"/>
        <w:rPr>
          <w:rFonts w:ascii="Arial" w:eastAsia="Times New Roman" w:hAnsi="Arial" w:cs="Arial"/>
          <w:b/>
          <w:sz w:val="24"/>
          <w:lang w:val="es-CO" w:eastAsia="es-ES"/>
        </w:rPr>
      </w:pPr>
      <w:r w:rsidRPr="009E05F6">
        <w:rPr>
          <w:rFonts w:ascii="Arial" w:eastAsia="Times New Roman" w:hAnsi="Arial" w:cs="Arial"/>
          <w:b/>
          <w:sz w:val="24"/>
          <w:lang w:val="es-CO" w:eastAsia="es-ES"/>
        </w:rPr>
        <w:t>Jefe Oficina de Control Interno</w:t>
      </w:r>
    </w:p>
    <w:p w:rsidR="00296C1F" w:rsidRDefault="00296C1F" w:rsidP="00296C1F">
      <w:pPr>
        <w:spacing w:after="0" w:line="240" w:lineRule="auto"/>
        <w:ind w:hanging="142"/>
        <w:rPr>
          <w:rFonts w:ascii="Arial" w:eastAsia="Times New Roman" w:hAnsi="Arial" w:cs="Arial"/>
          <w:b/>
          <w:sz w:val="24"/>
          <w:szCs w:val="24"/>
          <w:lang w:val="es-CO" w:eastAsia="es-ES"/>
        </w:rPr>
      </w:pPr>
    </w:p>
    <w:p w:rsidR="00050B79" w:rsidRDefault="00050B79" w:rsidP="00296C1F">
      <w:pPr>
        <w:spacing w:after="0" w:line="240" w:lineRule="auto"/>
        <w:ind w:hanging="142"/>
        <w:rPr>
          <w:rFonts w:ascii="Arial" w:eastAsia="Times New Roman" w:hAnsi="Arial" w:cs="Arial"/>
          <w:b/>
          <w:sz w:val="24"/>
          <w:szCs w:val="24"/>
          <w:lang w:val="es-CO" w:eastAsia="es-ES"/>
        </w:rPr>
      </w:pPr>
    </w:p>
    <w:p w:rsidR="002923AB" w:rsidRDefault="002923AB" w:rsidP="00296C1F">
      <w:pPr>
        <w:spacing w:after="0" w:line="240" w:lineRule="auto"/>
        <w:ind w:hanging="142"/>
        <w:rPr>
          <w:rFonts w:ascii="Arial" w:eastAsia="Times New Roman" w:hAnsi="Arial" w:cs="Arial"/>
          <w:b/>
          <w:sz w:val="24"/>
          <w:szCs w:val="24"/>
          <w:lang w:val="es-CO" w:eastAsia="es-ES"/>
        </w:rPr>
      </w:pPr>
    </w:p>
    <w:p w:rsidR="002923AB" w:rsidRDefault="002923AB" w:rsidP="00296C1F">
      <w:pPr>
        <w:spacing w:after="0" w:line="240" w:lineRule="auto"/>
        <w:ind w:hanging="142"/>
        <w:rPr>
          <w:rFonts w:ascii="Arial" w:eastAsia="Times New Roman" w:hAnsi="Arial" w:cs="Arial"/>
          <w:b/>
          <w:sz w:val="24"/>
          <w:szCs w:val="24"/>
          <w:lang w:val="es-CO" w:eastAsia="es-ES"/>
        </w:rPr>
      </w:pPr>
    </w:p>
    <w:p w:rsidR="002923AB" w:rsidRDefault="002923AB" w:rsidP="00296C1F">
      <w:pPr>
        <w:spacing w:after="0" w:line="240" w:lineRule="auto"/>
        <w:ind w:hanging="142"/>
        <w:rPr>
          <w:rFonts w:ascii="Arial" w:eastAsia="Times New Roman" w:hAnsi="Arial" w:cs="Arial"/>
          <w:b/>
          <w:sz w:val="24"/>
          <w:szCs w:val="24"/>
          <w:lang w:val="es-CO" w:eastAsia="es-ES"/>
        </w:rPr>
      </w:pPr>
    </w:p>
    <w:p w:rsidR="002923AB" w:rsidRDefault="002923AB" w:rsidP="00296C1F">
      <w:pPr>
        <w:spacing w:after="0" w:line="240" w:lineRule="auto"/>
        <w:ind w:hanging="142"/>
        <w:rPr>
          <w:rFonts w:ascii="Arial" w:eastAsia="Times New Roman" w:hAnsi="Arial" w:cs="Arial"/>
          <w:b/>
          <w:sz w:val="24"/>
          <w:szCs w:val="24"/>
          <w:lang w:val="es-CO" w:eastAsia="es-ES"/>
        </w:rPr>
      </w:pPr>
    </w:p>
    <w:p w:rsidR="002923AB" w:rsidRDefault="002923AB" w:rsidP="00296C1F">
      <w:pPr>
        <w:spacing w:after="0" w:line="240" w:lineRule="auto"/>
        <w:ind w:hanging="142"/>
        <w:rPr>
          <w:rFonts w:ascii="Arial" w:eastAsia="Times New Roman" w:hAnsi="Arial" w:cs="Arial"/>
          <w:b/>
          <w:sz w:val="24"/>
          <w:szCs w:val="24"/>
          <w:lang w:val="es-CO" w:eastAsia="es-ES"/>
        </w:rPr>
      </w:pPr>
    </w:p>
    <w:p w:rsidR="002923AB" w:rsidRDefault="002923AB" w:rsidP="00296C1F">
      <w:pPr>
        <w:spacing w:after="0" w:line="240" w:lineRule="auto"/>
        <w:ind w:hanging="142"/>
        <w:rPr>
          <w:rFonts w:ascii="Arial" w:eastAsia="Times New Roman" w:hAnsi="Arial" w:cs="Arial"/>
          <w:b/>
          <w:sz w:val="24"/>
          <w:szCs w:val="24"/>
          <w:lang w:val="es-CO" w:eastAsia="es-ES"/>
        </w:rPr>
      </w:pPr>
    </w:p>
    <w:p w:rsidR="002923AB" w:rsidRDefault="002923AB" w:rsidP="00296C1F">
      <w:pPr>
        <w:spacing w:after="0" w:line="240" w:lineRule="auto"/>
        <w:ind w:hanging="142"/>
        <w:rPr>
          <w:rFonts w:ascii="Arial" w:eastAsia="Times New Roman" w:hAnsi="Arial" w:cs="Arial"/>
          <w:b/>
          <w:sz w:val="24"/>
          <w:szCs w:val="24"/>
          <w:lang w:val="es-CO" w:eastAsia="es-ES"/>
        </w:rPr>
      </w:pPr>
    </w:p>
    <w:p w:rsidR="002923AB" w:rsidRDefault="002923AB" w:rsidP="00296C1F">
      <w:pPr>
        <w:spacing w:after="0" w:line="240" w:lineRule="auto"/>
        <w:ind w:hanging="142"/>
        <w:rPr>
          <w:rFonts w:ascii="Arial" w:eastAsia="Times New Roman" w:hAnsi="Arial" w:cs="Arial"/>
          <w:b/>
          <w:sz w:val="24"/>
          <w:szCs w:val="24"/>
          <w:lang w:val="es-CO" w:eastAsia="es-ES"/>
        </w:rPr>
      </w:pPr>
    </w:p>
    <w:p w:rsidR="002923AB" w:rsidRDefault="002923AB" w:rsidP="00296C1F">
      <w:pPr>
        <w:spacing w:after="0" w:line="240" w:lineRule="auto"/>
        <w:ind w:hanging="142"/>
        <w:rPr>
          <w:rFonts w:ascii="Arial" w:eastAsia="Times New Roman" w:hAnsi="Arial" w:cs="Arial"/>
          <w:b/>
          <w:sz w:val="24"/>
          <w:szCs w:val="24"/>
          <w:lang w:val="es-CO" w:eastAsia="es-ES"/>
        </w:rPr>
      </w:pPr>
    </w:p>
    <w:p w:rsidR="002923AB" w:rsidRDefault="002923AB" w:rsidP="00296C1F">
      <w:pPr>
        <w:spacing w:after="0" w:line="240" w:lineRule="auto"/>
        <w:ind w:hanging="142"/>
        <w:rPr>
          <w:rFonts w:ascii="Arial" w:eastAsia="Times New Roman" w:hAnsi="Arial" w:cs="Arial"/>
          <w:b/>
          <w:sz w:val="24"/>
          <w:szCs w:val="24"/>
          <w:lang w:val="es-CO" w:eastAsia="es-ES"/>
        </w:rPr>
      </w:pPr>
    </w:p>
    <w:p w:rsidR="009071AF" w:rsidRDefault="009071AF" w:rsidP="00296C1F">
      <w:pPr>
        <w:spacing w:after="0" w:line="240" w:lineRule="auto"/>
        <w:ind w:hanging="142"/>
        <w:rPr>
          <w:rFonts w:ascii="Arial" w:eastAsia="Times New Roman" w:hAnsi="Arial" w:cs="Arial"/>
          <w:b/>
          <w:sz w:val="24"/>
          <w:szCs w:val="24"/>
          <w:lang w:val="es-CO" w:eastAsia="es-ES"/>
        </w:rPr>
      </w:pPr>
    </w:p>
    <w:p w:rsidR="009071AF" w:rsidRDefault="009071AF" w:rsidP="00296C1F">
      <w:pPr>
        <w:spacing w:after="0" w:line="240" w:lineRule="auto"/>
        <w:ind w:hanging="142"/>
        <w:rPr>
          <w:rFonts w:ascii="Arial" w:eastAsia="Times New Roman" w:hAnsi="Arial" w:cs="Arial"/>
          <w:b/>
          <w:sz w:val="24"/>
          <w:szCs w:val="24"/>
          <w:lang w:val="es-CO" w:eastAsia="es-ES"/>
        </w:rPr>
      </w:pPr>
    </w:p>
    <w:p w:rsidR="009071AF" w:rsidRDefault="009071AF" w:rsidP="00296C1F">
      <w:pPr>
        <w:spacing w:after="0" w:line="240" w:lineRule="auto"/>
        <w:ind w:hanging="142"/>
        <w:rPr>
          <w:rFonts w:ascii="Arial" w:eastAsia="Times New Roman" w:hAnsi="Arial" w:cs="Arial"/>
          <w:b/>
          <w:sz w:val="24"/>
          <w:szCs w:val="24"/>
          <w:lang w:val="es-CO" w:eastAsia="es-ES"/>
        </w:rPr>
      </w:pPr>
    </w:p>
    <w:p w:rsidR="009071AF" w:rsidRDefault="009071AF" w:rsidP="00296C1F">
      <w:pPr>
        <w:spacing w:after="0" w:line="240" w:lineRule="auto"/>
        <w:ind w:hanging="142"/>
        <w:rPr>
          <w:rFonts w:ascii="Arial" w:eastAsia="Times New Roman" w:hAnsi="Arial" w:cs="Arial"/>
          <w:b/>
          <w:sz w:val="24"/>
          <w:szCs w:val="24"/>
          <w:lang w:val="es-CO" w:eastAsia="es-ES"/>
        </w:rPr>
      </w:pPr>
    </w:p>
    <w:p w:rsidR="00852DBF" w:rsidRDefault="00852DBF" w:rsidP="00296C1F">
      <w:pPr>
        <w:spacing w:after="0" w:line="240" w:lineRule="auto"/>
        <w:ind w:hanging="142"/>
        <w:rPr>
          <w:rFonts w:ascii="Arial" w:eastAsia="Times New Roman" w:hAnsi="Arial" w:cs="Arial"/>
          <w:b/>
          <w:sz w:val="24"/>
          <w:szCs w:val="24"/>
          <w:lang w:val="es-CO" w:eastAsia="es-ES"/>
        </w:rPr>
      </w:pPr>
    </w:p>
    <w:p w:rsidR="00852DBF" w:rsidRDefault="00852DBF" w:rsidP="00296C1F">
      <w:pPr>
        <w:spacing w:after="0" w:line="240" w:lineRule="auto"/>
        <w:ind w:hanging="142"/>
        <w:rPr>
          <w:rFonts w:ascii="Arial" w:eastAsia="Times New Roman" w:hAnsi="Arial" w:cs="Arial"/>
          <w:b/>
          <w:sz w:val="24"/>
          <w:szCs w:val="24"/>
          <w:lang w:val="es-CO" w:eastAsia="es-ES"/>
        </w:rPr>
      </w:pPr>
    </w:p>
    <w:p w:rsidR="001F227B" w:rsidRDefault="001F227B" w:rsidP="00296C1F">
      <w:pPr>
        <w:spacing w:after="0" w:line="240" w:lineRule="auto"/>
        <w:ind w:hanging="142"/>
        <w:rPr>
          <w:rFonts w:ascii="Arial" w:eastAsia="Times New Roman" w:hAnsi="Arial" w:cs="Arial"/>
          <w:b/>
          <w:sz w:val="24"/>
          <w:szCs w:val="24"/>
          <w:lang w:val="es-CO" w:eastAsia="es-ES"/>
        </w:rPr>
      </w:pPr>
    </w:p>
    <w:p w:rsidR="001F227B" w:rsidRDefault="001F227B" w:rsidP="00296C1F">
      <w:pPr>
        <w:spacing w:after="0" w:line="240" w:lineRule="auto"/>
        <w:ind w:hanging="142"/>
        <w:rPr>
          <w:rFonts w:ascii="Arial" w:eastAsia="Times New Roman" w:hAnsi="Arial" w:cs="Arial"/>
          <w:b/>
          <w:sz w:val="24"/>
          <w:szCs w:val="24"/>
          <w:lang w:val="es-CO" w:eastAsia="es-ES"/>
        </w:rPr>
      </w:pPr>
    </w:p>
    <w:p w:rsidR="00DB659A" w:rsidRDefault="00DB659A" w:rsidP="00296C1F">
      <w:pPr>
        <w:spacing w:after="0" w:line="240" w:lineRule="auto"/>
        <w:ind w:hanging="142"/>
        <w:rPr>
          <w:rFonts w:ascii="Arial" w:eastAsia="Times New Roman" w:hAnsi="Arial" w:cs="Arial"/>
          <w:b/>
          <w:sz w:val="24"/>
          <w:szCs w:val="24"/>
          <w:lang w:val="es-CO" w:eastAsia="es-ES"/>
        </w:rPr>
      </w:pPr>
    </w:p>
    <w:p w:rsidR="00DB659A" w:rsidRDefault="00DB659A" w:rsidP="00296C1F">
      <w:pPr>
        <w:spacing w:after="0" w:line="240" w:lineRule="auto"/>
        <w:ind w:hanging="142"/>
        <w:rPr>
          <w:rFonts w:ascii="Arial" w:eastAsia="Times New Roman" w:hAnsi="Arial" w:cs="Arial"/>
          <w:b/>
          <w:sz w:val="24"/>
          <w:szCs w:val="24"/>
          <w:lang w:val="es-CO" w:eastAsia="es-ES"/>
        </w:rPr>
      </w:pPr>
    </w:p>
    <w:p w:rsidR="00DB659A" w:rsidRDefault="00DB659A" w:rsidP="00296C1F">
      <w:pPr>
        <w:spacing w:after="0" w:line="240" w:lineRule="auto"/>
        <w:ind w:hanging="142"/>
        <w:rPr>
          <w:rFonts w:ascii="Arial" w:eastAsia="Times New Roman" w:hAnsi="Arial" w:cs="Arial"/>
          <w:b/>
          <w:sz w:val="24"/>
          <w:szCs w:val="24"/>
          <w:lang w:val="es-CO" w:eastAsia="es-ES"/>
        </w:rPr>
      </w:pPr>
    </w:p>
    <w:p w:rsidR="00DB659A" w:rsidRDefault="00DB659A" w:rsidP="00296C1F">
      <w:pPr>
        <w:spacing w:after="0" w:line="240" w:lineRule="auto"/>
        <w:ind w:hanging="142"/>
        <w:rPr>
          <w:rFonts w:ascii="Arial" w:eastAsia="Times New Roman" w:hAnsi="Arial" w:cs="Arial"/>
          <w:b/>
          <w:sz w:val="24"/>
          <w:szCs w:val="24"/>
          <w:lang w:val="es-CO" w:eastAsia="es-ES"/>
        </w:rPr>
      </w:pPr>
    </w:p>
    <w:p w:rsidR="00A97892" w:rsidRDefault="00A97892" w:rsidP="00296C1F">
      <w:pPr>
        <w:spacing w:after="0" w:line="240" w:lineRule="auto"/>
        <w:ind w:hanging="142"/>
        <w:rPr>
          <w:rFonts w:ascii="Arial" w:eastAsia="Times New Roman" w:hAnsi="Arial" w:cs="Arial"/>
          <w:b/>
          <w:sz w:val="24"/>
          <w:szCs w:val="24"/>
          <w:lang w:val="es-CO" w:eastAsia="es-ES"/>
        </w:rPr>
      </w:pPr>
    </w:p>
    <w:p w:rsidR="00852DBF" w:rsidRDefault="00852DBF" w:rsidP="00296C1F">
      <w:pPr>
        <w:spacing w:after="0" w:line="240" w:lineRule="auto"/>
        <w:ind w:hanging="142"/>
        <w:rPr>
          <w:rFonts w:ascii="Arial" w:eastAsia="Times New Roman" w:hAnsi="Arial" w:cs="Arial"/>
          <w:b/>
          <w:sz w:val="24"/>
          <w:szCs w:val="24"/>
          <w:lang w:val="es-CO" w:eastAsia="es-ES"/>
        </w:rPr>
      </w:pPr>
    </w:p>
    <w:p w:rsidR="00296C1F" w:rsidRPr="00EF2B5A" w:rsidRDefault="00296C1F" w:rsidP="00EF2B5A">
      <w:pPr>
        <w:pStyle w:val="Prrafodelista"/>
        <w:numPr>
          <w:ilvl w:val="0"/>
          <w:numId w:val="9"/>
        </w:numPr>
        <w:spacing w:after="0" w:line="240" w:lineRule="auto"/>
        <w:jc w:val="both"/>
        <w:rPr>
          <w:rFonts w:ascii="Arial" w:eastAsia="Times New Roman" w:hAnsi="Arial" w:cs="Arial"/>
          <w:b/>
          <w:sz w:val="24"/>
          <w:szCs w:val="24"/>
          <w:lang w:val="es-CO" w:eastAsia="es-ES"/>
        </w:rPr>
      </w:pPr>
      <w:r w:rsidRPr="00EF2B5A">
        <w:rPr>
          <w:rFonts w:ascii="Arial" w:eastAsia="Times New Roman" w:hAnsi="Arial" w:cs="Arial"/>
          <w:b/>
          <w:sz w:val="24"/>
          <w:szCs w:val="24"/>
          <w:lang w:val="es-CO" w:eastAsia="es-ES"/>
        </w:rPr>
        <w:lastRenderedPageBreak/>
        <w:t>Anexos</w:t>
      </w:r>
    </w:p>
    <w:p w:rsidR="00296C1F" w:rsidRPr="005C0044" w:rsidRDefault="00296C1F" w:rsidP="00296C1F">
      <w:pPr>
        <w:spacing w:after="0" w:line="240" w:lineRule="auto"/>
        <w:jc w:val="both"/>
        <w:rPr>
          <w:rFonts w:ascii="Arial" w:eastAsia="Times New Roman" w:hAnsi="Arial" w:cs="Arial"/>
          <w:sz w:val="24"/>
          <w:szCs w:val="24"/>
          <w:lang w:val="es-CO" w:eastAsia="es-ES"/>
        </w:rPr>
      </w:pPr>
    </w:p>
    <w:p w:rsidR="00296C1F" w:rsidRPr="005C0044" w:rsidRDefault="00296C1F" w:rsidP="00296C1F">
      <w:pPr>
        <w:pStyle w:val="Prrafodelista"/>
        <w:spacing w:line="240" w:lineRule="auto"/>
        <w:ind w:left="1134"/>
        <w:rPr>
          <w:rFonts w:ascii="Arial" w:eastAsia="Times New Roman" w:hAnsi="Arial" w:cs="Arial"/>
          <w:sz w:val="24"/>
          <w:szCs w:val="24"/>
          <w:lang w:val="es-CO" w:eastAsia="es-ES"/>
        </w:rPr>
      </w:pPr>
      <w:r>
        <w:rPr>
          <w:rFonts w:ascii="Arial" w:eastAsia="Times New Roman" w:hAnsi="Arial" w:cs="Arial"/>
          <w:sz w:val="24"/>
          <w:szCs w:val="24"/>
          <w:lang w:val="es-CO" w:eastAsia="es-ES"/>
        </w:rPr>
        <w:t xml:space="preserve">7.1 </w:t>
      </w:r>
      <w:r w:rsidRPr="005C0044">
        <w:rPr>
          <w:rFonts w:ascii="Arial" w:eastAsia="Times New Roman" w:hAnsi="Arial" w:cs="Arial"/>
          <w:sz w:val="24"/>
          <w:szCs w:val="24"/>
          <w:lang w:val="es-CO" w:eastAsia="es-ES"/>
        </w:rPr>
        <w:t>Cuadro resumen del análisis del resultado</w:t>
      </w:r>
      <w:r>
        <w:rPr>
          <w:rFonts w:ascii="Arial" w:eastAsia="Times New Roman" w:hAnsi="Arial" w:cs="Arial"/>
          <w:sz w:val="24"/>
          <w:szCs w:val="24"/>
          <w:lang w:val="es-CO" w:eastAsia="es-ES"/>
        </w:rPr>
        <w:t xml:space="preserve">: </w:t>
      </w:r>
      <w:r w:rsidRPr="005C0044">
        <w:rPr>
          <w:rFonts w:ascii="Arial" w:eastAsia="Times New Roman" w:hAnsi="Arial" w:cs="Arial"/>
          <w:sz w:val="24"/>
          <w:szCs w:val="24"/>
          <w:lang w:val="es-CO" w:eastAsia="es-ES"/>
        </w:rPr>
        <w:t>Oportunidades de Mejora</w:t>
      </w:r>
    </w:p>
    <w:p w:rsidR="00296C1F" w:rsidRPr="005C0044" w:rsidRDefault="00296C1F" w:rsidP="00296C1F">
      <w:pPr>
        <w:pStyle w:val="Prrafodelista"/>
        <w:spacing w:after="0" w:line="240" w:lineRule="auto"/>
        <w:ind w:left="792"/>
        <w:jc w:val="both"/>
        <w:rPr>
          <w:rFonts w:ascii="Arial" w:hAnsi="Arial" w:cs="Arial"/>
          <w:lang w:val="es-CO"/>
        </w:rPr>
      </w:pPr>
    </w:p>
    <w:tbl>
      <w:tblPr>
        <w:tblStyle w:val="Tablaconcuadrcula1"/>
        <w:tblW w:w="0" w:type="auto"/>
        <w:tblLook w:val="04A0" w:firstRow="1" w:lastRow="0" w:firstColumn="1" w:lastColumn="0" w:noHBand="0" w:noVBand="1"/>
      </w:tblPr>
      <w:tblGrid>
        <w:gridCol w:w="701"/>
        <w:gridCol w:w="1762"/>
        <w:gridCol w:w="3903"/>
        <w:gridCol w:w="1502"/>
        <w:gridCol w:w="2036"/>
      </w:tblGrid>
      <w:tr w:rsidR="00296C1F" w:rsidRPr="00AF3255" w:rsidTr="006E4166">
        <w:trPr>
          <w:trHeight w:val="140"/>
        </w:trPr>
        <w:tc>
          <w:tcPr>
            <w:tcW w:w="701" w:type="dxa"/>
            <w:shd w:val="clear" w:color="auto" w:fill="E7E6E6" w:themeFill="background2"/>
            <w:vAlign w:val="center"/>
          </w:tcPr>
          <w:p w:rsidR="00296C1F" w:rsidRPr="00AF3255" w:rsidRDefault="00296C1F" w:rsidP="00C87192">
            <w:pPr>
              <w:jc w:val="center"/>
              <w:rPr>
                <w:rFonts w:ascii="Arial" w:eastAsia="Times New Roman" w:hAnsi="Arial" w:cs="Arial"/>
                <w:b/>
                <w:sz w:val="24"/>
                <w:szCs w:val="24"/>
                <w:lang w:eastAsia="es-ES"/>
              </w:rPr>
            </w:pPr>
            <w:r w:rsidRPr="00AF3255">
              <w:rPr>
                <w:rFonts w:ascii="Arial" w:eastAsia="Times New Roman" w:hAnsi="Arial" w:cs="Arial"/>
                <w:b/>
                <w:sz w:val="24"/>
                <w:szCs w:val="24"/>
                <w:lang w:eastAsia="es-ES"/>
              </w:rPr>
              <w:t>No.</w:t>
            </w:r>
          </w:p>
        </w:tc>
        <w:tc>
          <w:tcPr>
            <w:tcW w:w="1762" w:type="dxa"/>
            <w:shd w:val="clear" w:color="auto" w:fill="E7E6E6" w:themeFill="background2"/>
            <w:vAlign w:val="center"/>
          </w:tcPr>
          <w:p w:rsidR="00296C1F" w:rsidRPr="00AF3255" w:rsidRDefault="00296C1F" w:rsidP="00C87192">
            <w:pPr>
              <w:jc w:val="center"/>
              <w:rPr>
                <w:rFonts w:ascii="Arial" w:eastAsia="Times New Roman" w:hAnsi="Arial" w:cs="Arial"/>
                <w:b/>
                <w:sz w:val="24"/>
                <w:szCs w:val="24"/>
                <w:lang w:eastAsia="es-ES"/>
              </w:rPr>
            </w:pPr>
            <w:r w:rsidRPr="00AF3255">
              <w:rPr>
                <w:rFonts w:ascii="Arial" w:eastAsia="Times New Roman" w:hAnsi="Arial" w:cs="Arial"/>
                <w:b/>
                <w:sz w:val="24"/>
                <w:szCs w:val="24"/>
                <w:lang w:eastAsia="es-ES"/>
              </w:rPr>
              <w:t>Proceso</w:t>
            </w:r>
          </w:p>
        </w:tc>
        <w:tc>
          <w:tcPr>
            <w:tcW w:w="3903" w:type="dxa"/>
            <w:shd w:val="clear" w:color="auto" w:fill="E7E6E6" w:themeFill="background2"/>
            <w:vAlign w:val="center"/>
          </w:tcPr>
          <w:p w:rsidR="00296C1F" w:rsidRPr="00AF3255" w:rsidRDefault="00296C1F" w:rsidP="005A48DD">
            <w:pPr>
              <w:jc w:val="center"/>
              <w:rPr>
                <w:rFonts w:ascii="Arial" w:eastAsia="Times New Roman" w:hAnsi="Arial" w:cs="Arial"/>
                <w:b/>
                <w:sz w:val="24"/>
                <w:szCs w:val="24"/>
                <w:lang w:eastAsia="es-ES"/>
              </w:rPr>
            </w:pPr>
            <w:r w:rsidRPr="00AF3255">
              <w:rPr>
                <w:rFonts w:ascii="Arial" w:eastAsia="Times New Roman" w:hAnsi="Arial" w:cs="Arial"/>
                <w:b/>
                <w:sz w:val="24"/>
                <w:szCs w:val="24"/>
                <w:lang w:eastAsia="es-ES"/>
              </w:rPr>
              <w:t xml:space="preserve">Descripción </w:t>
            </w:r>
            <w:r w:rsidR="005A48DD">
              <w:rPr>
                <w:rFonts w:ascii="Arial" w:eastAsia="Times New Roman" w:hAnsi="Arial" w:cs="Arial"/>
                <w:b/>
                <w:sz w:val="24"/>
                <w:szCs w:val="24"/>
                <w:lang w:eastAsia="es-ES"/>
              </w:rPr>
              <w:t xml:space="preserve">la Oportunidad de mejora </w:t>
            </w:r>
          </w:p>
        </w:tc>
        <w:tc>
          <w:tcPr>
            <w:tcW w:w="1502" w:type="dxa"/>
            <w:shd w:val="clear" w:color="auto" w:fill="E7E6E6" w:themeFill="background2"/>
            <w:vAlign w:val="center"/>
          </w:tcPr>
          <w:p w:rsidR="00296C1F" w:rsidRPr="00AF3255" w:rsidRDefault="00296C1F" w:rsidP="00C87192">
            <w:pPr>
              <w:jc w:val="center"/>
              <w:rPr>
                <w:rFonts w:ascii="Arial" w:eastAsia="Times New Roman" w:hAnsi="Arial" w:cs="Arial"/>
                <w:b/>
                <w:sz w:val="24"/>
                <w:szCs w:val="24"/>
                <w:lang w:eastAsia="es-ES"/>
              </w:rPr>
            </w:pPr>
            <w:r w:rsidRPr="00AF3255">
              <w:rPr>
                <w:rFonts w:ascii="Arial" w:eastAsia="Times New Roman" w:hAnsi="Arial" w:cs="Arial"/>
                <w:b/>
                <w:sz w:val="24"/>
                <w:szCs w:val="24"/>
                <w:lang w:eastAsia="es-ES"/>
              </w:rPr>
              <w:t>Numeral</w:t>
            </w:r>
          </w:p>
        </w:tc>
        <w:tc>
          <w:tcPr>
            <w:tcW w:w="2036" w:type="dxa"/>
            <w:shd w:val="clear" w:color="auto" w:fill="E7E6E6" w:themeFill="background2"/>
            <w:vAlign w:val="center"/>
          </w:tcPr>
          <w:p w:rsidR="00296C1F" w:rsidRPr="00AF3255" w:rsidRDefault="00296C1F" w:rsidP="00C87192">
            <w:pPr>
              <w:jc w:val="center"/>
              <w:rPr>
                <w:rFonts w:ascii="Arial" w:eastAsia="Times New Roman" w:hAnsi="Arial" w:cs="Arial"/>
                <w:b/>
                <w:sz w:val="24"/>
                <w:szCs w:val="24"/>
                <w:lang w:eastAsia="es-ES"/>
              </w:rPr>
            </w:pPr>
            <w:r w:rsidRPr="00AF3255">
              <w:rPr>
                <w:rFonts w:ascii="Arial" w:eastAsia="Times New Roman" w:hAnsi="Arial" w:cs="Arial"/>
                <w:b/>
                <w:sz w:val="24"/>
                <w:szCs w:val="24"/>
                <w:lang w:eastAsia="es-ES"/>
              </w:rPr>
              <w:t>Responsable</w:t>
            </w:r>
          </w:p>
        </w:tc>
      </w:tr>
      <w:tr w:rsidR="00296C1F" w:rsidRPr="00AF3255" w:rsidTr="006E4166">
        <w:trPr>
          <w:trHeight w:val="530"/>
        </w:trPr>
        <w:tc>
          <w:tcPr>
            <w:tcW w:w="701" w:type="dxa"/>
          </w:tcPr>
          <w:p w:rsidR="00296C1F" w:rsidRPr="00AF3255" w:rsidRDefault="00B3289F" w:rsidP="00C87192">
            <w:pPr>
              <w:rPr>
                <w:rFonts w:ascii="Arial" w:eastAsia="Times New Roman" w:hAnsi="Arial" w:cs="Arial"/>
                <w:b/>
                <w:sz w:val="24"/>
                <w:szCs w:val="24"/>
                <w:u w:val="single"/>
                <w:lang w:eastAsia="es-ES"/>
              </w:rPr>
            </w:pPr>
            <w:r>
              <w:rPr>
                <w:rFonts w:ascii="Arial" w:hAnsi="Arial" w:cs="Arial"/>
                <w:b/>
                <w:bCs/>
                <w:color w:val="000000"/>
                <w:sz w:val="17"/>
                <w:szCs w:val="17"/>
              </w:rPr>
              <w:t>593</w:t>
            </w:r>
          </w:p>
        </w:tc>
        <w:tc>
          <w:tcPr>
            <w:tcW w:w="1762" w:type="dxa"/>
            <w:vMerge w:val="restart"/>
          </w:tcPr>
          <w:p w:rsidR="00296C1F" w:rsidRPr="00AF3255" w:rsidRDefault="00B3289F" w:rsidP="00C87192">
            <w:pPr>
              <w:rPr>
                <w:rFonts w:ascii="Arial" w:eastAsia="Times New Roman" w:hAnsi="Arial" w:cs="Arial"/>
                <w:b/>
                <w:sz w:val="24"/>
                <w:szCs w:val="24"/>
                <w:u w:val="single"/>
                <w:lang w:eastAsia="es-ES"/>
              </w:rPr>
            </w:pPr>
            <w:r w:rsidRPr="00B3289F">
              <w:rPr>
                <w:rFonts w:ascii="Arial" w:eastAsia="Times New Roman" w:hAnsi="Arial" w:cs="Arial"/>
                <w:sz w:val="20"/>
                <w:szCs w:val="20"/>
                <w:lang w:eastAsia="es-ES"/>
              </w:rPr>
              <w:t>Almacén e Inventarios</w:t>
            </w:r>
          </w:p>
        </w:tc>
        <w:tc>
          <w:tcPr>
            <w:tcW w:w="3903" w:type="dxa"/>
          </w:tcPr>
          <w:p w:rsidR="00296C1F" w:rsidRPr="00AF3255" w:rsidRDefault="00B3289F" w:rsidP="00B3289F">
            <w:pPr>
              <w:jc w:val="both"/>
              <w:rPr>
                <w:rFonts w:ascii="Arial" w:eastAsia="Times New Roman" w:hAnsi="Arial" w:cs="Arial"/>
                <w:b/>
                <w:sz w:val="24"/>
                <w:szCs w:val="24"/>
                <w:u w:val="single"/>
                <w:lang w:eastAsia="es-ES"/>
              </w:rPr>
            </w:pPr>
            <w:r>
              <w:rPr>
                <w:rFonts w:ascii="Arial" w:hAnsi="Arial" w:cs="Arial"/>
                <w:color w:val="333333"/>
                <w:sz w:val="17"/>
                <w:szCs w:val="17"/>
              </w:rPr>
              <w:t>Se evidenció que en el inventario hay licencias de Software que se encuentran totalmente depreciadas en contabilidad, y en el aplicativo Neón aparecen valoradas en $31.502.560.</w:t>
            </w:r>
          </w:p>
        </w:tc>
        <w:tc>
          <w:tcPr>
            <w:tcW w:w="1502" w:type="dxa"/>
          </w:tcPr>
          <w:p w:rsidR="00296C1F" w:rsidRPr="00AF3255" w:rsidRDefault="00B3289F" w:rsidP="00C87192">
            <w:pPr>
              <w:rPr>
                <w:rFonts w:ascii="Arial" w:eastAsia="Times New Roman" w:hAnsi="Arial" w:cs="Arial"/>
                <w:b/>
                <w:sz w:val="24"/>
                <w:szCs w:val="24"/>
                <w:u w:val="single"/>
                <w:lang w:eastAsia="es-ES"/>
              </w:rPr>
            </w:pPr>
            <w:r>
              <w:rPr>
                <w:rFonts w:ascii="Arial" w:hAnsi="Arial" w:cs="Arial"/>
                <w:color w:val="333333"/>
                <w:sz w:val="17"/>
                <w:szCs w:val="17"/>
              </w:rPr>
              <w:t>NTC GP 1000:2009</w:t>
            </w:r>
            <w:r>
              <w:rPr>
                <w:rFonts w:ascii="Arial" w:hAnsi="Arial" w:cs="Arial"/>
                <w:color w:val="333333"/>
                <w:sz w:val="17"/>
                <w:szCs w:val="17"/>
              </w:rPr>
              <w:br/>
              <w:t>- 4.2.3 Control de documentos 4.2 Gestión documental</w:t>
            </w:r>
          </w:p>
        </w:tc>
        <w:tc>
          <w:tcPr>
            <w:tcW w:w="2036" w:type="dxa"/>
            <w:vMerge w:val="restart"/>
          </w:tcPr>
          <w:p w:rsidR="00296C1F" w:rsidRPr="00AF3255" w:rsidRDefault="00296C1F" w:rsidP="00D84783">
            <w:pPr>
              <w:rPr>
                <w:rFonts w:ascii="Arial" w:eastAsia="Times New Roman" w:hAnsi="Arial" w:cs="Arial"/>
                <w:sz w:val="24"/>
                <w:szCs w:val="24"/>
                <w:lang w:eastAsia="es-ES"/>
              </w:rPr>
            </w:pPr>
            <w:r w:rsidRPr="00AF3255">
              <w:rPr>
                <w:rFonts w:ascii="Arial" w:hAnsi="Arial" w:cs="Arial"/>
                <w:color w:val="333333"/>
                <w:sz w:val="17"/>
                <w:szCs w:val="17"/>
              </w:rPr>
              <w:t xml:space="preserve">Coordinador Grupo de gestión </w:t>
            </w:r>
            <w:r w:rsidR="00D84783">
              <w:rPr>
                <w:rFonts w:ascii="Arial" w:hAnsi="Arial" w:cs="Arial"/>
                <w:color w:val="333333"/>
                <w:sz w:val="17"/>
                <w:szCs w:val="17"/>
              </w:rPr>
              <w:t>Administrativa y documental</w:t>
            </w:r>
          </w:p>
        </w:tc>
      </w:tr>
      <w:tr w:rsidR="00296C1F" w:rsidRPr="00AF3255" w:rsidTr="006E4166">
        <w:trPr>
          <w:trHeight w:val="529"/>
        </w:trPr>
        <w:tc>
          <w:tcPr>
            <w:tcW w:w="701" w:type="dxa"/>
          </w:tcPr>
          <w:p w:rsidR="00296C1F" w:rsidRPr="00AF3255" w:rsidRDefault="00530FF2" w:rsidP="00C87192">
            <w:pPr>
              <w:rPr>
                <w:rFonts w:ascii="Arial" w:hAnsi="Arial" w:cs="Arial"/>
                <w:b/>
                <w:bCs/>
                <w:color w:val="000000"/>
                <w:sz w:val="17"/>
                <w:szCs w:val="17"/>
              </w:rPr>
            </w:pPr>
            <w:r>
              <w:rPr>
                <w:rFonts w:ascii="Arial" w:hAnsi="Arial" w:cs="Arial"/>
                <w:b/>
                <w:bCs/>
                <w:color w:val="000000"/>
                <w:sz w:val="17"/>
                <w:szCs w:val="17"/>
              </w:rPr>
              <w:t>594</w:t>
            </w:r>
          </w:p>
        </w:tc>
        <w:tc>
          <w:tcPr>
            <w:tcW w:w="1762" w:type="dxa"/>
            <w:vMerge/>
          </w:tcPr>
          <w:p w:rsidR="00296C1F" w:rsidRPr="00AF3255" w:rsidRDefault="00296C1F" w:rsidP="00C87192">
            <w:pPr>
              <w:rPr>
                <w:rFonts w:ascii="Arial" w:eastAsia="Times New Roman" w:hAnsi="Arial" w:cs="Arial"/>
                <w:sz w:val="20"/>
                <w:szCs w:val="20"/>
                <w:lang w:eastAsia="es-ES"/>
              </w:rPr>
            </w:pPr>
          </w:p>
        </w:tc>
        <w:tc>
          <w:tcPr>
            <w:tcW w:w="3903" w:type="dxa"/>
          </w:tcPr>
          <w:p w:rsidR="00296C1F" w:rsidRPr="00AF3255" w:rsidRDefault="00D84783" w:rsidP="00C87192">
            <w:pPr>
              <w:rPr>
                <w:rFonts w:ascii="Arial" w:hAnsi="Arial" w:cs="Arial"/>
                <w:color w:val="333333"/>
                <w:sz w:val="17"/>
                <w:szCs w:val="17"/>
              </w:rPr>
            </w:pPr>
            <w:r>
              <w:rPr>
                <w:rFonts w:ascii="Arial" w:hAnsi="Arial" w:cs="Arial"/>
                <w:color w:val="333333"/>
                <w:sz w:val="17"/>
                <w:szCs w:val="17"/>
              </w:rPr>
              <w:t>Se observó que algunos formatos de reintegros de bienes al almacén y egresos no se encuentran en su totalidad firmados por el funcionario que entrega y recibe, así mismo no se ingresan simultáneamente al aplicativo. De la misma manera, se observó debilidad en el procedimiento de Ingreso y Egresos de bienes devolutivos del almacén actividad No. 4, en razón a que los formatos de Ingresos y Egresos de elementos devolutivos en su totalidad no son arrojados por el Aplicativo Neón.</w:t>
            </w:r>
          </w:p>
        </w:tc>
        <w:tc>
          <w:tcPr>
            <w:tcW w:w="1502" w:type="dxa"/>
          </w:tcPr>
          <w:p w:rsidR="00296C1F" w:rsidRPr="00AF3255" w:rsidRDefault="00D84783" w:rsidP="00C87192">
            <w:pPr>
              <w:rPr>
                <w:rFonts w:ascii="Arial" w:hAnsi="Arial" w:cs="Arial"/>
                <w:color w:val="333333"/>
                <w:sz w:val="17"/>
                <w:szCs w:val="17"/>
              </w:rPr>
            </w:pPr>
            <w:r>
              <w:rPr>
                <w:rFonts w:ascii="Arial" w:hAnsi="Arial" w:cs="Arial"/>
                <w:color w:val="333333"/>
                <w:sz w:val="17"/>
                <w:szCs w:val="17"/>
              </w:rPr>
              <w:t>MECI 1000:2005</w:t>
            </w:r>
            <w:r>
              <w:rPr>
                <w:rFonts w:ascii="Arial" w:hAnsi="Arial" w:cs="Arial"/>
                <w:color w:val="333333"/>
                <w:sz w:val="17"/>
                <w:szCs w:val="17"/>
              </w:rPr>
              <w:br/>
              <w:t>- 2.1.5 Manual de procedimientos 2. Subsistema de Control de Gestión 2.1 Componente actividades de control.</w:t>
            </w:r>
          </w:p>
        </w:tc>
        <w:tc>
          <w:tcPr>
            <w:tcW w:w="2036" w:type="dxa"/>
            <w:vMerge/>
          </w:tcPr>
          <w:p w:rsidR="00296C1F" w:rsidRPr="00AF3255" w:rsidRDefault="00296C1F" w:rsidP="00C87192">
            <w:pPr>
              <w:rPr>
                <w:rFonts w:ascii="Arial" w:hAnsi="Arial" w:cs="Arial"/>
                <w:color w:val="333333"/>
                <w:sz w:val="17"/>
                <w:szCs w:val="17"/>
              </w:rPr>
            </w:pPr>
          </w:p>
        </w:tc>
      </w:tr>
      <w:tr w:rsidR="00296C1F" w:rsidRPr="00AF3255" w:rsidTr="006E4166">
        <w:trPr>
          <w:trHeight w:val="529"/>
        </w:trPr>
        <w:tc>
          <w:tcPr>
            <w:tcW w:w="701" w:type="dxa"/>
          </w:tcPr>
          <w:p w:rsidR="00296C1F" w:rsidRPr="00AF3255" w:rsidRDefault="00B10136" w:rsidP="00C87192">
            <w:pPr>
              <w:rPr>
                <w:rFonts w:ascii="Arial" w:hAnsi="Arial" w:cs="Arial"/>
                <w:b/>
                <w:bCs/>
                <w:color w:val="000000"/>
                <w:sz w:val="17"/>
                <w:szCs w:val="17"/>
              </w:rPr>
            </w:pPr>
            <w:r>
              <w:rPr>
                <w:rFonts w:ascii="Arial" w:hAnsi="Arial" w:cs="Arial"/>
                <w:b/>
                <w:bCs/>
                <w:color w:val="000000"/>
                <w:sz w:val="17"/>
                <w:szCs w:val="17"/>
              </w:rPr>
              <w:t>595</w:t>
            </w:r>
          </w:p>
        </w:tc>
        <w:tc>
          <w:tcPr>
            <w:tcW w:w="1762" w:type="dxa"/>
            <w:vMerge/>
          </w:tcPr>
          <w:p w:rsidR="00296C1F" w:rsidRPr="00AF3255" w:rsidRDefault="00296C1F" w:rsidP="00C87192">
            <w:pPr>
              <w:rPr>
                <w:rFonts w:ascii="Arial" w:eastAsia="Times New Roman" w:hAnsi="Arial" w:cs="Arial"/>
                <w:sz w:val="20"/>
                <w:szCs w:val="20"/>
                <w:lang w:eastAsia="es-ES"/>
              </w:rPr>
            </w:pPr>
          </w:p>
        </w:tc>
        <w:tc>
          <w:tcPr>
            <w:tcW w:w="3903" w:type="dxa"/>
          </w:tcPr>
          <w:p w:rsidR="00296C1F" w:rsidRPr="00AF3255" w:rsidRDefault="00B10136" w:rsidP="00C87192">
            <w:pPr>
              <w:rPr>
                <w:rFonts w:ascii="Arial" w:hAnsi="Arial" w:cs="Arial"/>
                <w:color w:val="333333"/>
                <w:sz w:val="17"/>
                <w:szCs w:val="17"/>
              </w:rPr>
            </w:pPr>
            <w:r>
              <w:rPr>
                <w:rFonts w:ascii="Arial" w:hAnsi="Arial" w:cs="Arial"/>
                <w:color w:val="333333"/>
                <w:sz w:val="17"/>
                <w:szCs w:val="17"/>
              </w:rPr>
              <w:t>Se observó en las solicitudes de elementos de papelería y útiles de oficina realizada por los funcionarios al almacén, presentan tachones y con ingresos hechos a mano, después de estar aprobados por el Jefe del área.</w:t>
            </w:r>
          </w:p>
        </w:tc>
        <w:tc>
          <w:tcPr>
            <w:tcW w:w="1502" w:type="dxa"/>
          </w:tcPr>
          <w:p w:rsidR="00296C1F" w:rsidRPr="00AF3255" w:rsidRDefault="00B10136" w:rsidP="00C87192">
            <w:pPr>
              <w:rPr>
                <w:rFonts w:ascii="Arial" w:hAnsi="Arial" w:cs="Arial"/>
                <w:color w:val="333333"/>
                <w:sz w:val="17"/>
                <w:szCs w:val="17"/>
              </w:rPr>
            </w:pPr>
            <w:r>
              <w:rPr>
                <w:rFonts w:ascii="Arial" w:hAnsi="Arial" w:cs="Arial"/>
                <w:color w:val="333333"/>
                <w:sz w:val="17"/>
                <w:szCs w:val="17"/>
              </w:rPr>
              <w:t>NTC GP 1000:2009</w:t>
            </w:r>
            <w:r>
              <w:rPr>
                <w:rFonts w:ascii="Arial" w:hAnsi="Arial" w:cs="Arial"/>
                <w:color w:val="333333"/>
                <w:sz w:val="17"/>
                <w:szCs w:val="17"/>
              </w:rPr>
              <w:br/>
              <w:t>- 7.2.1 Determinación de los requisitos relacionados con el producto y/o servicio 7. REALIZACION DEL PRODUCTO O PRESTACION DEL SERVICIO 7.2 Procesos relacionados con el cliente</w:t>
            </w:r>
          </w:p>
        </w:tc>
        <w:tc>
          <w:tcPr>
            <w:tcW w:w="2036" w:type="dxa"/>
            <w:vMerge/>
          </w:tcPr>
          <w:p w:rsidR="00296C1F" w:rsidRPr="00AF3255" w:rsidRDefault="00296C1F" w:rsidP="00C87192">
            <w:pPr>
              <w:rPr>
                <w:rFonts w:ascii="Arial" w:hAnsi="Arial" w:cs="Arial"/>
                <w:color w:val="333333"/>
                <w:sz w:val="17"/>
                <w:szCs w:val="17"/>
              </w:rPr>
            </w:pPr>
          </w:p>
        </w:tc>
      </w:tr>
      <w:tr w:rsidR="00296C1F" w:rsidRPr="00AF3255" w:rsidTr="006E4166">
        <w:trPr>
          <w:trHeight w:val="530"/>
        </w:trPr>
        <w:tc>
          <w:tcPr>
            <w:tcW w:w="701" w:type="dxa"/>
          </w:tcPr>
          <w:p w:rsidR="00296C1F" w:rsidRPr="00AF3255" w:rsidRDefault="00B10136" w:rsidP="00C87192">
            <w:pPr>
              <w:rPr>
                <w:rFonts w:ascii="Arial" w:hAnsi="Arial" w:cs="Arial"/>
                <w:b/>
                <w:bCs/>
                <w:color w:val="000000"/>
                <w:sz w:val="17"/>
                <w:szCs w:val="17"/>
              </w:rPr>
            </w:pPr>
            <w:r>
              <w:rPr>
                <w:rFonts w:ascii="Arial" w:hAnsi="Arial" w:cs="Arial"/>
                <w:b/>
                <w:bCs/>
                <w:color w:val="000000"/>
                <w:sz w:val="17"/>
                <w:szCs w:val="17"/>
              </w:rPr>
              <w:t>596</w:t>
            </w:r>
          </w:p>
        </w:tc>
        <w:tc>
          <w:tcPr>
            <w:tcW w:w="1762" w:type="dxa"/>
            <w:vMerge/>
          </w:tcPr>
          <w:p w:rsidR="00296C1F" w:rsidRPr="00AF3255" w:rsidRDefault="00296C1F" w:rsidP="00C87192">
            <w:pPr>
              <w:rPr>
                <w:rFonts w:ascii="Arial" w:eastAsia="Times New Roman" w:hAnsi="Arial" w:cs="Arial"/>
                <w:sz w:val="20"/>
                <w:szCs w:val="20"/>
                <w:lang w:eastAsia="es-ES"/>
              </w:rPr>
            </w:pPr>
          </w:p>
        </w:tc>
        <w:tc>
          <w:tcPr>
            <w:tcW w:w="3903" w:type="dxa"/>
          </w:tcPr>
          <w:p w:rsidR="00296C1F" w:rsidRPr="00AF3255" w:rsidRDefault="00B10136" w:rsidP="00C87192">
            <w:pPr>
              <w:rPr>
                <w:rFonts w:ascii="Arial" w:hAnsi="Arial" w:cs="Arial"/>
                <w:color w:val="333333"/>
                <w:sz w:val="17"/>
                <w:szCs w:val="17"/>
              </w:rPr>
            </w:pPr>
            <w:r>
              <w:rPr>
                <w:rFonts w:ascii="Arial" w:hAnsi="Arial" w:cs="Arial"/>
                <w:color w:val="333333"/>
                <w:sz w:val="17"/>
                <w:szCs w:val="17"/>
              </w:rPr>
              <w:t>Se observó que la Oficina de Tecnologías de la Información y las Comunicaciones, realizó el reintegro de bienes devolutivos mediante memorando interno con fecha del 11 de Julio de 2014 por valor de $118.195.240, y se ingresó en los boletines diarios de almacén hasta el 30 de diciembre de 2014.</w:t>
            </w:r>
          </w:p>
        </w:tc>
        <w:tc>
          <w:tcPr>
            <w:tcW w:w="1502" w:type="dxa"/>
          </w:tcPr>
          <w:p w:rsidR="00296C1F" w:rsidRPr="00AF3255" w:rsidRDefault="00B10136" w:rsidP="00C87192">
            <w:pPr>
              <w:rPr>
                <w:rFonts w:ascii="Arial" w:hAnsi="Arial" w:cs="Arial"/>
                <w:color w:val="333333"/>
                <w:sz w:val="17"/>
                <w:szCs w:val="17"/>
              </w:rPr>
            </w:pPr>
            <w:r>
              <w:rPr>
                <w:rFonts w:ascii="Arial" w:hAnsi="Arial" w:cs="Arial"/>
                <w:color w:val="333333"/>
                <w:sz w:val="17"/>
                <w:szCs w:val="17"/>
              </w:rPr>
              <w:t>MECI 1000:2005</w:t>
            </w:r>
            <w:r>
              <w:rPr>
                <w:rFonts w:ascii="Arial" w:hAnsi="Arial" w:cs="Arial"/>
                <w:color w:val="333333"/>
                <w:sz w:val="17"/>
                <w:szCs w:val="17"/>
              </w:rPr>
              <w:br/>
              <w:t>- 2.1.5 Manual de procedimientos 2. Subsistema de Control de Gestión 2.1 Componente actividades de control.</w:t>
            </w:r>
          </w:p>
        </w:tc>
        <w:tc>
          <w:tcPr>
            <w:tcW w:w="2036" w:type="dxa"/>
            <w:vMerge/>
          </w:tcPr>
          <w:p w:rsidR="00296C1F" w:rsidRPr="00AF3255" w:rsidRDefault="00296C1F" w:rsidP="00C87192">
            <w:pPr>
              <w:rPr>
                <w:rFonts w:ascii="Arial" w:hAnsi="Arial" w:cs="Arial"/>
                <w:color w:val="333333"/>
                <w:sz w:val="17"/>
                <w:szCs w:val="17"/>
              </w:rPr>
            </w:pPr>
          </w:p>
        </w:tc>
      </w:tr>
      <w:tr w:rsidR="00296C1F" w:rsidRPr="00AF3255" w:rsidTr="006E4166">
        <w:trPr>
          <w:trHeight w:val="62"/>
        </w:trPr>
        <w:tc>
          <w:tcPr>
            <w:tcW w:w="701" w:type="dxa"/>
          </w:tcPr>
          <w:p w:rsidR="00296C1F" w:rsidRPr="00AF3255" w:rsidRDefault="00D2382D" w:rsidP="00C87192">
            <w:pPr>
              <w:rPr>
                <w:rFonts w:ascii="Arial" w:hAnsi="Arial" w:cs="Arial"/>
                <w:b/>
                <w:bCs/>
                <w:color w:val="000000"/>
                <w:sz w:val="17"/>
                <w:szCs w:val="17"/>
              </w:rPr>
            </w:pPr>
            <w:r>
              <w:rPr>
                <w:rFonts w:ascii="Arial" w:hAnsi="Arial" w:cs="Arial"/>
                <w:b/>
                <w:bCs/>
                <w:color w:val="000000"/>
                <w:sz w:val="17"/>
                <w:szCs w:val="17"/>
              </w:rPr>
              <w:t>609</w:t>
            </w:r>
          </w:p>
        </w:tc>
        <w:tc>
          <w:tcPr>
            <w:tcW w:w="1762" w:type="dxa"/>
          </w:tcPr>
          <w:p w:rsidR="00296C1F" w:rsidRPr="00AF3255" w:rsidRDefault="00D2382D" w:rsidP="00C87192">
            <w:pPr>
              <w:rPr>
                <w:rFonts w:ascii="Arial" w:eastAsia="Times New Roman" w:hAnsi="Arial" w:cs="Arial"/>
                <w:sz w:val="20"/>
                <w:szCs w:val="20"/>
                <w:lang w:eastAsia="es-ES"/>
              </w:rPr>
            </w:pPr>
            <w:r w:rsidRPr="00D2382D">
              <w:rPr>
                <w:rFonts w:ascii="Arial" w:eastAsia="Times New Roman" w:hAnsi="Arial" w:cs="Arial"/>
                <w:sz w:val="20"/>
                <w:szCs w:val="20"/>
                <w:lang w:eastAsia="es-ES"/>
              </w:rPr>
              <w:t>Gestión Documental</w:t>
            </w:r>
          </w:p>
        </w:tc>
        <w:tc>
          <w:tcPr>
            <w:tcW w:w="3903" w:type="dxa"/>
          </w:tcPr>
          <w:p w:rsidR="00296C1F" w:rsidRPr="00AF3255" w:rsidRDefault="00D2382D" w:rsidP="00C87192">
            <w:pPr>
              <w:rPr>
                <w:rFonts w:ascii="Arial" w:hAnsi="Arial" w:cs="Arial"/>
                <w:color w:val="333333"/>
                <w:sz w:val="17"/>
                <w:szCs w:val="17"/>
              </w:rPr>
            </w:pPr>
            <w:r>
              <w:rPr>
                <w:rFonts w:ascii="Arial" w:hAnsi="Arial" w:cs="Arial"/>
                <w:color w:val="333333"/>
                <w:sz w:val="17"/>
                <w:szCs w:val="17"/>
              </w:rPr>
              <w:t>Se observó que en algunos préstamos de archivo los días superan el tiempo que se tiene previsto en el procedimiento Administración y circulación para el préstamo de archivos, incumpliéndose la actividad No. 2: “La duración de préstamo de documentos del archivo central será de máximo 5 días….” y la actividad No. 5:”Previo cumplimiento de los días de préstamo establecidos el profesional envía correo electrónico para requerir al usuario la documentación del documento prestado ponerlo en alerta”.</w:t>
            </w:r>
          </w:p>
        </w:tc>
        <w:tc>
          <w:tcPr>
            <w:tcW w:w="1502" w:type="dxa"/>
          </w:tcPr>
          <w:p w:rsidR="00296C1F" w:rsidRPr="00AF3255" w:rsidRDefault="00D2382D" w:rsidP="00C87192">
            <w:pPr>
              <w:rPr>
                <w:rFonts w:ascii="Arial" w:hAnsi="Arial" w:cs="Arial"/>
                <w:color w:val="333333"/>
                <w:sz w:val="17"/>
                <w:szCs w:val="17"/>
              </w:rPr>
            </w:pPr>
            <w:r>
              <w:rPr>
                <w:rFonts w:ascii="Arial" w:hAnsi="Arial" w:cs="Arial"/>
                <w:color w:val="333333"/>
                <w:sz w:val="17"/>
                <w:szCs w:val="17"/>
              </w:rPr>
              <w:t>MECI 1000:2005</w:t>
            </w:r>
            <w:r>
              <w:rPr>
                <w:rFonts w:ascii="Arial" w:hAnsi="Arial" w:cs="Arial"/>
                <w:color w:val="333333"/>
                <w:sz w:val="17"/>
                <w:szCs w:val="17"/>
              </w:rPr>
              <w:br/>
              <w:t>- 2.1.3 Controles 2. Subsistema de Control de Gestión 2.1 Componente actividades de control.</w:t>
            </w:r>
            <w:r w:rsidRPr="00AF3255">
              <w:rPr>
                <w:rFonts w:ascii="Arial" w:hAnsi="Arial" w:cs="Arial"/>
                <w:color w:val="333333"/>
                <w:sz w:val="17"/>
                <w:szCs w:val="17"/>
              </w:rPr>
              <w:t xml:space="preserve"> </w:t>
            </w:r>
            <w:r w:rsidR="00296C1F" w:rsidRPr="00AF3255">
              <w:rPr>
                <w:rFonts w:ascii="Arial" w:hAnsi="Arial" w:cs="Arial"/>
                <w:color w:val="333333"/>
                <w:sz w:val="17"/>
                <w:szCs w:val="17"/>
              </w:rPr>
              <w:t>Talento Humano</w:t>
            </w:r>
          </w:p>
        </w:tc>
        <w:tc>
          <w:tcPr>
            <w:tcW w:w="2036" w:type="dxa"/>
          </w:tcPr>
          <w:p w:rsidR="00296C1F" w:rsidRPr="00AF3255" w:rsidRDefault="00D2382D" w:rsidP="00C87192">
            <w:pPr>
              <w:rPr>
                <w:rFonts w:ascii="Arial" w:hAnsi="Arial" w:cs="Arial"/>
                <w:color w:val="333333"/>
                <w:sz w:val="17"/>
                <w:szCs w:val="17"/>
              </w:rPr>
            </w:pPr>
            <w:r w:rsidRPr="00AF3255">
              <w:rPr>
                <w:rFonts w:ascii="Arial" w:hAnsi="Arial" w:cs="Arial"/>
                <w:color w:val="333333"/>
                <w:sz w:val="17"/>
                <w:szCs w:val="17"/>
              </w:rPr>
              <w:t xml:space="preserve">Coordinador Grupo de gestión </w:t>
            </w:r>
            <w:r>
              <w:rPr>
                <w:rFonts w:ascii="Arial" w:hAnsi="Arial" w:cs="Arial"/>
                <w:color w:val="333333"/>
                <w:sz w:val="17"/>
                <w:szCs w:val="17"/>
              </w:rPr>
              <w:t>Administrativa y documental</w:t>
            </w:r>
          </w:p>
        </w:tc>
      </w:tr>
      <w:tr w:rsidR="00D71BE9" w:rsidRPr="00AF3255" w:rsidTr="006E4166">
        <w:trPr>
          <w:trHeight w:val="61"/>
        </w:trPr>
        <w:tc>
          <w:tcPr>
            <w:tcW w:w="701" w:type="dxa"/>
          </w:tcPr>
          <w:p w:rsidR="00D71BE9" w:rsidRPr="00AF3255" w:rsidRDefault="00D71BE9" w:rsidP="00C87192">
            <w:pPr>
              <w:rPr>
                <w:rFonts w:ascii="Arial" w:hAnsi="Arial" w:cs="Arial"/>
                <w:b/>
                <w:bCs/>
                <w:color w:val="000000"/>
                <w:sz w:val="17"/>
                <w:szCs w:val="17"/>
              </w:rPr>
            </w:pPr>
            <w:r>
              <w:rPr>
                <w:rFonts w:ascii="Arial" w:hAnsi="Arial" w:cs="Arial"/>
                <w:b/>
                <w:bCs/>
                <w:color w:val="000000"/>
                <w:sz w:val="17"/>
                <w:szCs w:val="17"/>
              </w:rPr>
              <w:t>588</w:t>
            </w:r>
          </w:p>
        </w:tc>
        <w:tc>
          <w:tcPr>
            <w:tcW w:w="1762" w:type="dxa"/>
            <w:vMerge w:val="restart"/>
          </w:tcPr>
          <w:p w:rsidR="00D71BE9" w:rsidRPr="00AF3255" w:rsidRDefault="00D71BE9" w:rsidP="00C87192">
            <w:pPr>
              <w:rPr>
                <w:rFonts w:ascii="Arial" w:eastAsia="Times New Roman" w:hAnsi="Arial" w:cs="Arial"/>
                <w:sz w:val="20"/>
                <w:szCs w:val="20"/>
                <w:lang w:eastAsia="es-ES"/>
              </w:rPr>
            </w:pPr>
            <w:r w:rsidRPr="00DE2C2B">
              <w:rPr>
                <w:rFonts w:ascii="Arial" w:eastAsia="Times New Roman" w:hAnsi="Arial" w:cs="Arial"/>
                <w:sz w:val="20"/>
                <w:szCs w:val="20"/>
                <w:lang w:eastAsia="es-ES"/>
              </w:rPr>
              <w:t xml:space="preserve">Control Legal de Cajas de Compensación </w:t>
            </w:r>
            <w:r w:rsidRPr="00DE2C2B">
              <w:rPr>
                <w:rFonts w:ascii="Arial" w:eastAsia="Times New Roman" w:hAnsi="Arial" w:cs="Arial"/>
                <w:sz w:val="20"/>
                <w:szCs w:val="20"/>
                <w:lang w:eastAsia="es-ES"/>
              </w:rPr>
              <w:lastRenderedPageBreak/>
              <w:t>Familiar</w:t>
            </w:r>
          </w:p>
        </w:tc>
        <w:tc>
          <w:tcPr>
            <w:tcW w:w="3903" w:type="dxa"/>
          </w:tcPr>
          <w:p w:rsidR="00D71BE9" w:rsidRPr="00AF3255" w:rsidRDefault="00D71BE9" w:rsidP="00C87192">
            <w:pPr>
              <w:rPr>
                <w:rFonts w:ascii="Arial" w:hAnsi="Arial" w:cs="Arial"/>
                <w:color w:val="333333"/>
                <w:sz w:val="17"/>
                <w:szCs w:val="17"/>
              </w:rPr>
            </w:pPr>
            <w:r>
              <w:rPr>
                <w:rFonts w:ascii="Arial" w:hAnsi="Arial" w:cs="Arial"/>
                <w:color w:val="333333"/>
                <w:sz w:val="17"/>
                <w:szCs w:val="17"/>
              </w:rPr>
              <w:lastRenderedPageBreak/>
              <w:t>Se observa que no se lleva una matriz de control de actuaciones para verificar la trazabilidad sobre las averiguaciones preliminares que se adelantan en la Delegada.</w:t>
            </w:r>
          </w:p>
        </w:tc>
        <w:tc>
          <w:tcPr>
            <w:tcW w:w="1502" w:type="dxa"/>
          </w:tcPr>
          <w:p w:rsidR="00D71BE9" w:rsidRPr="00AF3255" w:rsidRDefault="00D71BE9" w:rsidP="00C87192">
            <w:pPr>
              <w:rPr>
                <w:rFonts w:ascii="Arial" w:hAnsi="Arial" w:cs="Arial"/>
                <w:color w:val="333333"/>
                <w:sz w:val="17"/>
                <w:szCs w:val="17"/>
              </w:rPr>
            </w:pPr>
            <w:r>
              <w:rPr>
                <w:rFonts w:ascii="Arial" w:hAnsi="Arial" w:cs="Arial"/>
                <w:color w:val="333333"/>
                <w:sz w:val="17"/>
                <w:szCs w:val="17"/>
              </w:rPr>
              <w:t>NTC GP 1000:2009</w:t>
            </w:r>
            <w:r>
              <w:rPr>
                <w:rFonts w:ascii="Arial" w:hAnsi="Arial" w:cs="Arial"/>
                <w:color w:val="333333"/>
                <w:sz w:val="17"/>
                <w:szCs w:val="17"/>
              </w:rPr>
              <w:br/>
              <w:t xml:space="preserve">- 4.2.1 Generalidades 4.2 Gestión </w:t>
            </w:r>
            <w:r>
              <w:rPr>
                <w:rFonts w:ascii="Arial" w:hAnsi="Arial" w:cs="Arial"/>
                <w:color w:val="333333"/>
                <w:sz w:val="17"/>
                <w:szCs w:val="17"/>
              </w:rPr>
              <w:lastRenderedPageBreak/>
              <w:t>documental</w:t>
            </w:r>
          </w:p>
        </w:tc>
        <w:tc>
          <w:tcPr>
            <w:tcW w:w="2036" w:type="dxa"/>
            <w:vMerge w:val="restart"/>
          </w:tcPr>
          <w:p w:rsidR="00D71BE9" w:rsidRPr="00AF3255" w:rsidRDefault="00D71BE9" w:rsidP="00C87192">
            <w:pPr>
              <w:rPr>
                <w:rFonts w:ascii="Arial" w:hAnsi="Arial" w:cs="Arial"/>
                <w:color w:val="333333"/>
                <w:sz w:val="17"/>
                <w:szCs w:val="17"/>
              </w:rPr>
            </w:pPr>
            <w:r>
              <w:rPr>
                <w:rFonts w:ascii="Arial" w:hAnsi="Arial" w:cs="Arial"/>
                <w:color w:val="333333"/>
                <w:sz w:val="17"/>
                <w:szCs w:val="17"/>
              </w:rPr>
              <w:lastRenderedPageBreak/>
              <w:t xml:space="preserve">Superintendente </w:t>
            </w:r>
            <w:r w:rsidRPr="000D71DC">
              <w:rPr>
                <w:rFonts w:ascii="Arial" w:hAnsi="Arial" w:cs="Arial"/>
                <w:color w:val="333333"/>
                <w:sz w:val="17"/>
                <w:szCs w:val="17"/>
              </w:rPr>
              <w:t xml:space="preserve">Delegada para la Responsabilidad Administrativa y las </w:t>
            </w:r>
            <w:r w:rsidRPr="000D71DC">
              <w:rPr>
                <w:rFonts w:ascii="Arial" w:hAnsi="Arial" w:cs="Arial"/>
                <w:color w:val="333333"/>
                <w:sz w:val="17"/>
                <w:szCs w:val="17"/>
              </w:rPr>
              <w:lastRenderedPageBreak/>
              <w:t>Medidas Especiales</w:t>
            </w:r>
          </w:p>
        </w:tc>
      </w:tr>
      <w:tr w:rsidR="00D71BE9" w:rsidRPr="00AF3255" w:rsidTr="006E4166">
        <w:trPr>
          <w:trHeight w:val="61"/>
        </w:trPr>
        <w:tc>
          <w:tcPr>
            <w:tcW w:w="701" w:type="dxa"/>
          </w:tcPr>
          <w:p w:rsidR="00D71BE9" w:rsidRDefault="00D71BE9" w:rsidP="00C87192">
            <w:pPr>
              <w:rPr>
                <w:rFonts w:ascii="Arial" w:hAnsi="Arial" w:cs="Arial"/>
                <w:b/>
                <w:bCs/>
                <w:color w:val="000000"/>
                <w:sz w:val="17"/>
                <w:szCs w:val="17"/>
              </w:rPr>
            </w:pPr>
            <w:r>
              <w:rPr>
                <w:rFonts w:ascii="Arial" w:hAnsi="Arial" w:cs="Arial"/>
                <w:b/>
                <w:bCs/>
                <w:color w:val="000000"/>
                <w:sz w:val="17"/>
                <w:szCs w:val="17"/>
              </w:rPr>
              <w:lastRenderedPageBreak/>
              <w:t>589</w:t>
            </w:r>
          </w:p>
        </w:tc>
        <w:tc>
          <w:tcPr>
            <w:tcW w:w="1762" w:type="dxa"/>
            <w:vMerge/>
          </w:tcPr>
          <w:p w:rsidR="00D71BE9" w:rsidRPr="00DE2C2B" w:rsidRDefault="00D71BE9" w:rsidP="00C87192">
            <w:pPr>
              <w:rPr>
                <w:rFonts w:ascii="Arial" w:eastAsia="Times New Roman" w:hAnsi="Arial" w:cs="Arial"/>
                <w:sz w:val="20"/>
                <w:szCs w:val="20"/>
                <w:lang w:eastAsia="es-ES"/>
              </w:rPr>
            </w:pPr>
          </w:p>
        </w:tc>
        <w:tc>
          <w:tcPr>
            <w:tcW w:w="3903" w:type="dxa"/>
          </w:tcPr>
          <w:p w:rsidR="00D71BE9" w:rsidRDefault="00D71BE9" w:rsidP="00C87192">
            <w:pPr>
              <w:rPr>
                <w:rFonts w:ascii="Arial" w:hAnsi="Arial" w:cs="Arial"/>
                <w:color w:val="333333"/>
                <w:sz w:val="17"/>
                <w:szCs w:val="17"/>
              </w:rPr>
            </w:pPr>
            <w:r>
              <w:rPr>
                <w:rFonts w:ascii="Arial" w:hAnsi="Arial" w:cs="Arial"/>
                <w:color w:val="333333"/>
                <w:sz w:val="17"/>
                <w:szCs w:val="17"/>
              </w:rPr>
              <w:t>Se observa una debilidad en los procedimientos de registro y control, en razón a que no se tienen plazos establecidos que permitan tener un control sobre cada una de las actividades descritas en los mismos.</w:t>
            </w:r>
          </w:p>
        </w:tc>
        <w:tc>
          <w:tcPr>
            <w:tcW w:w="1502" w:type="dxa"/>
          </w:tcPr>
          <w:p w:rsidR="00D71BE9" w:rsidRDefault="00D71BE9" w:rsidP="00C87192">
            <w:pPr>
              <w:rPr>
                <w:rFonts w:ascii="Arial" w:hAnsi="Arial" w:cs="Arial"/>
                <w:color w:val="333333"/>
                <w:sz w:val="17"/>
                <w:szCs w:val="17"/>
              </w:rPr>
            </w:pPr>
            <w:r>
              <w:rPr>
                <w:rFonts w:ascii="Arial" w:hAnsi="Arial" w:cs="Arial"/>
                <w:color w:val="333333"/>
                <w:sz w:val="17"/>
                <w:szCs w:val="17"/>
              </w:rPr>
              <w:t>NTC GP 1000:2009</w:t>
            </w:r>
            <w:r>
              <w:rPr>
                <w:rFonts w:ascii="Arial" w:hAnsi="Arial" w:cs="Arial"/>
                <w:color w:val="333333"/>
                <w:sz w:val="17"/>
                <w:szCs w:val="17"/>
              </w:rPr>
              <w:br/>
              <w:t>- 4.2.4 Control de los registros 4.2 Gestión documental</w:t>
            </w:r>
          </w:p>
        </w:tc>
        <w:tc>
          <w:tcPr>
            <w:tcW w:w="2036" w:type="dxa"/>
            <w:vMerge/>
          </w:tcPr>
          <w:p w:rsidR="00D71BE9" w:rsidRDefault="00D71BE9" w:rsidP="00C87192">
            <w:pPr>
              <w:rPr>
                <w:rFonts w:ascii="Arial" w:hAnsi="Arial" w:cs="Arial"/>
                <w:color w:val="333333"/>
                <w:sz w:val="17"/>
                <w:szCs w:val="17"/>
              </w:rPr>
            </w:pPr>
          </w:p>
        </w:tc>
      </w:tr>
      <w:tr w:rsidR="006E4166" w:rsidRPr="00AF3255" w:rsidTr="006E4166">
        <w:trPr>
          <w:trHeight w:val="61"/>
        </w:trPr>
        <w:tc>
          <w:tcPr>
            <w:tcW w:w="701" w:type="dxa"/>
          </w:tcPr>
          <w:p w:rsidR="006E4166" w:rsidRDefault="006E4166" w:rsidP="00C87192">
            <w:pPr>
              <w:rPr>
                <w:rFonts w:ascii="Arial" w:hAnsi="Arial" w:cs="Arial"/>
                <w:b/>
                <w:bCs/>
                <w:color w:val="000000"/>
                <w:sz w:val="17"/>
                <w:szCs w:val="17"/>
              </w:rPr>
            </w:pPr>
            <w:r>
              <w:rPr>
                <w:rFonts w:ascii="Arial" w:hAnsi="Arial" w:cs="Arial"/>
                <w:b/>
                <w:bCs/>
                <w:color w:val="000000"/>
                <w:sz w:val="17"/>
                <w:szCs w:val="17"/>
              </w:rPr>
              <w:t>590</w:t>
            </w:r>
          </w:p>
        </w:tc>
        <w:tc>
          <w:tcPr>
            <w:tcW w:w="1762" w:type="dxa"/>
            <w:vMerge w:val="restart"/>
          </w:tcPr>
          <w:p w:rsidR="006E4166" w:rsidRPr="00DE2C2B" w:rsidRDefault="006E4166" w:rsidP="00C87192">
            <w:pPr>
              <w:rPr>
                <w:rFonts w:ascii="Arial" w:eastAsia="Times New Roman" w:hAnsi="Arial" w:cs="Arial"/>
                <w:sz w:val="20"/>
                <w:szCs w:val="20"/>
                <w:lang w:eastAsia="es-ES"/>
              </w:rPr>
            </w:pPr>
            <w:r w:rsidRPr="006E4166">
              <w:rPr>
                <w:rFonts w:ascii="Arial" w:eastAsia="Times New Roman" w:hAnsi="Arial" w:cs="Arial"/>
                <w:sz w:val="20"/>
                <w:szCs w:val="20"/>
                <w:lang w:eastAsia="es-ES"/>
              </w:rPr>
              <w:t>Evaluación de Gestión de Cajas de Compensación Familiar</w:t>
            </w:r>
          </w:p>
        </w:tc>
        <w:tc>
          <w:tcPr>
            <w:tcW w:w="3903" w:type="dxa"/>
          </w:tcPr>
          <w:p w:rsidR="006E4166" w:rsidRDefault="006E4166" w:rsidP="00C87192">
            <w:pPr>
              <w:rPr>
                <w:rFonts w:ascii="Arial" w:hAnsi="Arial" w:cs="Arial"/>
                <w:color w:val="333333"/>
                <w:sz w:val="17"/>
                <w:szCs w:val="17"/>
              </w:rPr>
            </w:pPr>
            <w:r w:rsidRPr="006E4166">
              <w:rPr>
                <w:rFonts w:ascii="Arial" w:hAnsi="Arial" w:cs="Arial"/>
                <w:color w:val="333333"/>
                <w:sz w:val="17"/>
                <w:szCs w:val="17"/>
              </w:rPr>
              <w:t>Se recomienda revisar la caracterización del procedimiento seguimiento y control a los proyectos de Inversión, de acuerdo a las actividades que se realizan y documentos y/o registros que se generan realmente.</w:t>
            </w:r>
          </w:p>
        </w:tc>
        <w:tc>
          <w:tcPr>
            <w:tcW w:w="1502" w:type="dxa"/>
          </w:tcPr>
          <w:p w:rsidR="006E4166" w:rsidRDefault="006E4166" w:rsidP="006E4166">
            <w:pPr>
              <w:rPr>
                <w:rFonts w:ascii="Arial" w:hAnsi="Arial" w:cs="Arial"/>
                <w:color w:val="333333"/>
                <w:sz w:val="17"/>
                <w:szCs w:val="17"/>
              </w:rPr>
            </w:pPr>
            <w:r>
              <w:rPr>
                <w:rFonts w:ascii="Arial" w:hAnsi="Arial" w:cs="Arial"/>
                <w:color w:val="333333"/>
                <w:sz w:val="17"/>
                <w:szCs w:val="17"/>
              </w:rPr>
              <w:t xml:space="preserve">MECI 1000:2005 </w:t>
            </w:r>
            <w:r w:rsidRPr="006E4166">
              <w:rPr>
                <w:rFonts w:ascii="Arial" w:hAnsi="Arial" w:cs="Arial"/>
                <w:color w:val="333333"/>
                <w:sz w:val="17"/>
                <w:szCs w:val="17"/>
              </w:rPr>
              <w:t>- 1.2.1 Planes y programas 1. Subsistema de Control Estratégico 1.2 Componente direccionamiento estratégico</w:t>
            </w:r>
          </w:p>
        </w:tc>
        <w:tc>
          <w:tcPr>
            <w:tcW w:w="2036" w:type="dxa"/>
            <w:vMerge w:val="restart"/>
          </w:tcPr>
          <w:p w:rsidR="006E4166" w:rsidRDefault="006E4166" w:rsidP="00C87192">
            <w:pPr>
              <w:rPr>
                <w:rFonts w:ascii="Arial" w:hAnsi="Arial" w:cs="Arial"/>
                <w:color w:val="333333"/>
                <w:sz w:val="17"/>
                <w:szCs w:val="17"/>
              </w:rPr>
            </w:pPr>
            <w:r>
              <w:rPr>
                <w:rFonts w:ascii="Arial" w:hAnsi="Arial" w:cs="Arial"/>
                <w:color w:val="333333"/>
                <w:sz w:val="17"/>
                <w:szCs w:val="17"/>
              </w:rPr>
              <w:t>Director</w:t>
            </w:r>
            <w:r w:rsidRPr="006E4166">
              <w:rPr>
                <w:rFonts w:ascii="Arial" w:hAnsi="Arial" w:cs="Arial"/>
                <w:color w:val="333333"/>
                <w:sz w:val="17"/>
                <w:szCs w:val="17"/>
              </w:rPr>
              <w:t xml:space="preserve"> para la Gestión de las Cajas de Compensación Familiar</w:t>
            </w:r>
          </w:p>
        </w:tc>
      </w:tr>
      <w:tr w:rsidR="006E4166" w:rsidRPr="00AF3255" w:rsidTr="006E4166">
        <w:trPr>
          <w:trHeight w:val="61"/>
        </w:trPr>
        <w:tc>
          <w:tcPr>
            <w:tcW w:w="701" w:type="dxa"/>
          </w:tcPr>
          <w:p w:rsidR="006E4166" w:rsidRDefault="006E4166" w:rsidP="00C87192">
            <w:pPr>
              <w:rPr>
                <w:rFonts w:ascii="Arial" w:hAnsi="Arial" w:cs="Arial"/>
                <w:b/>
                <w:bCs/>
                <w:color w:val="000000"/>
                <w:sz w:val="17"/>
                <w:szCs w:val="17"/>
              </w:rPr>
            </w:pPr>
            <w:r>
              <w:rPr>
                <w:rFonts w:ascii="Arial" w:hAnsi="Arial" w:cs="Arial"/>
                <w:b/>
                <w:bCs/>
                <w:color w:val="000000"/>
                <w:sz w:val="17"/>
                <w:szCs w:val="17"/>
              </w:rPr>
              <w:t>591</w:t>
            </w:r>
          </w:p>
        </w:tc>
        <w:tc>
          <w:tcPr>
            <w:tcW w:w="1762" w:type="dxa"/>
            <w:vMerge/>
          </w:tcPr>
          <w:p w:rsidR="006E4166" w:rsidRPr="006E4166" w:rsidRDefault="006E4166" w:rsidP="00C87192">
            <w:pPr>
              <w:rPr>
                <w:rFonts w:ascii="Arial" w:eastAsia="Times New Roman" w:hAnsi="Arial" w:cs="Arial"/>
                <w:sz w:val="20"/>
                <w:szCs w:val="20"/>
                <w:lang w:eastAsia="es-ES"/>
              </w:rPr>
            </w:pPr>
          </w:p>
        </w:tc>
        <w:tc>
          <w:tcPr>
            <w:tcW w:w="3903" w:type="dxa"/>
          </w:tcPr>
          <w:p w:rsidR="006E4166" w:rsidRPr="006E4166" w:rsidRDefault="006E4166" w:rsidP="00C87192">
            <w:pPr>
              <w:rPr>
                <w:rFonts w:ascii="Arial" w:hAnsi="Arial" w:cs="Arial"/>
                <w:color w:val="333333"/>
                <w:sz w:val="17"/>
                <w:szCs w:val="17"/>
              </w:rPr>
            </w:pPr>
            <w:r w:rsidRPr="006E4166">
              <w:rPr>
                <w:rFonts w:ascii="Arial" w:hAnsi="Arial" w:cs="Arial"/>
                <w:color w:val="333333"/>
                <w:sz w:val="17"/>
                <w:szCs w:val="17"/>
              </w:rPr>
              <w:t>Se observaron debilidades frente al cumplimiento de la gestión de cobro persuasivo, actividad contemplada en el procedimiento de empleadores morosos.</w:t>
            </w:r>
          </w:p>
        </w:tc>
        <w:tc>
          <w:tcPr>
            <w:tcW w:w="1502" w:type="dxa"/>
          </w:tcPr>
          <w:p w:rsidR="006E4166" w:rsidRDefault="006E4166" w:rsidP="006E4166">
            <w:pPr>
              <w:rPr>
                <w:rFonts w:ascii="Arial" w:hAnsi="Arial" w:cs="Arial"/>
                <w:color w:val="333333"/>
                <w:sz w:val="17"/>
                <w:szCs w:val="17"/>
              </w:rPr>
            </w:pPr>
            <w:r>
              <w:rPr>
                <w:rFonts w:ascii="Arial" w:hAnsi="Arial" w:cs="Arial"/>
                <w:color w:val="333333"/>
                <w:sz w:val="17"/>
                <w:szCs w:val="17"/>
              </w:rPr>
              <w:t>NTC GP 1000:2009</w:t>
            </w:r>
            <w:r w:rsidRPr="006E4166">
              <w:rPr>
                <w:rFonts w:ascii="Arial" w:hAnsi="Arial" w:cs="Arial"/>
                <w:color w:val="333333"/>
                <w:sz w:val="17"/>
                <w:szCs w:val="17"/>
              </w:rPr>
              <w:t xml:space="preserve"> - 7.5.3 Identificación y trazabilidad 7. REALIZACION DEL PRODUCTO O PRESTACION DEL SERVICIO</w:t>
            </w:r>
          </w:p>
        </w:tc>
        <w:tc>
          <w:tcPr>
            <w:tcW w:w="2036" w:type="dxa"/>
            <w:vMerge/>
          </w:tcPr>
          <w:p w:rsidR="006E4166" w:rsidRDefault="006E4166" w:rsidP="00C87192">
            <w:pPr>
              <w:rPr>
                <w:rFonts w:ascii="Arial" w:hAnsi="Arial" w:cs="Arial"/>
                <w:color w:val="333333"/>
                <w:sz w:val="17"/>
                <w:szCs w:val="17"/>
              </w:rPr>
            </w:pPr>
          </w:p>
        </w:tc>
      </w:tr>
      <w:tr w:rsidR="006E4166" w:rsidRPr="00AF3255" w:rsidTr="006E4166">
        <w:trPr>
          <w:trHeight w:val="61"/>
        </w:trPr>
        <w:tc>
          <w:tcPr>
            <w:tcW w:w="701" w:type="dxa"/>
          </w:tcPr>
          <w:p w:rsidR="006E4166" w:rsidRDefault="00032D93" w:rsidP="00C87192">
            <w:pPr>
              <w:rPr>
                <w:rFonts w:ascii="Arial" w:hAnsi="Arial" w:cs="Arial"/>
                <w:b/>
                <w:bCs/>
                <w:color w:val="000000"/>
                <w:sz w:val="17"/>
                <w:szCs w:val="17"/>
              </w:rPr>
            </w:pPr>
            <w:r>
              <w:rPr>
                <w:rFonts w:ascii="Arial" w:hAnsi="Arial" w:cs="Arial"/>
                <w:b/>
                <w:bCs/>
                <w:color w:val="000000"/>
                <w:sz w:val="17"/>
                <w:szCs w:val="17"/>
              </w:rPr>
              <w:t>592</w:t>
            </w:r>
          </w:p>
        </w:tc>
        <w:tc>
          <w:tcPr>
            <w:tcW w:w="1762" w:type="dxa"/>
            <w:vMerge/>
          </w:tcPr>
          <w:p w:rsidR="006E4166" w:rsidRPr="006E4166" w:rsidRDefault="006E4166" w:rsidP="00C87192">
            <w:pPr>
              <w:rPr>
                <w:rFonts w:ascii="Arial" w:eastAsia="Times New Roman" w:hAnsi="Arial" w:cs="Arial"/>
                <w:sz w:val="20"/>
                <w:szCs w:val="20"/>
                <w:lang w:eastAsia="es-ES"/>
              </w:rPr>
            </w:pPr>
          </w:p>
        </w:tc>
        <w:tc>
          <w:tcPr>
            <w:tcW w:w="3903" w:type="dxa"/>
          </w:tcPr>
          <w:p w:rsidR="006E4166" w:rsidRPr="006E4166" w:rsidRDefault="00032D93" w:rsidP="00C87192">
            <w:pPr>
              <w:rPr>
                <w:rFonts w:ascii="Arial" w:hAnsi="Arial" w:cs="Arial"/>
                <w:color w:val="333333"/>
                <w:sz w:val="17"/>
                <w:szCs w:val="17"/>
              </w:rPr>
            </w:pPr>
            <w:r w:rsidRPr="00032D93">
              <w:rPr>
                <w:rFonts w:ascii="Arial" w:hAnsi="Arial" w:cs="Arial"/>
                <w:color w:val="333333"/>
                <w:sz w:val="17"/>
                <w:szCs w:val="17"/>
              </w:rPr>
              <w:t>Se observó que las carpetas donde reposan los soportes de las actividades descritas en los procedimientos, no se encuentran foliadas y organizadas.</w:t>
            </w:r>
          </w:p>
        </w:tc>
        <w:tc>
          <w:tcPr>
            <w:tcW w:w="1502" w:type="dxa"/>
          </w:tcPr>
          <w:p w:rsidR="006E4166" w:rsidRDefault="00032D93" w:rsidP="006E4166">
            <w:pPr>
              <w:rPr>
                <w:rFonts w:ascii="Arial" w:hAnsi="Arial" w:cs="Arial"/>
                <w:color w:val="333333"/>
                <w:sz w:val="17"/>
                <w:szCs w:val="17"/>
              </w:rPr>
            </w:pPr>
            <w:r>
              <w:rPr>
                <w:rFonts w:ascii="Arial" w:hAnsi="Arial" w:cs="Arial"/>
                <w:color w:val="333333"/>
                <w:sz w:val="17"/>
                <w:szCs w:val="17"/>
              </w:rPr>
              <w:t>MECI 1000:2005</w:t>
            </w:r>
            <w:r>
              <w:rPr>
                <w:rFonts w:ascii="Arial" w:hAnsi="Arial" w:cs="Arial"/>
                <w:color w:val="333333"/>
                <w:sz w:val="17"/>
                <w:szCs w:val="17"/>
              </w:rPr>
              <w:br/>
              <w:t>- 2.1.3 Controles 2. Subsistema de Control de Gestión 2.1 Componente actividades de control.</w:t>
            </w:r>
          </w:p>
        </w:tc>
        <w:tc>
          <w:tcPr>
            <w:tcW w:w="2036" w:type="dxa"/>
            <w:vMerge/>
          </w:tcPr>
          <w:p w:rsidR="006E4166" w:rsidRDefault="006E4166" w:rsidP="00C87192">
            <w:pPr>
              <w:rPr>
                <w:rFonts w:ascii="Arial" w:hAnsi="Arial" w:cs="Arial"/>
                <w:color w:val="333333"/>
                <w:sz w:val="17"/>
                <w:szCs w:val="17"/>
              </w:rPr>
            </w:pPr>
          </w:p>
        </w:tc>
      </w:tr>
    </w:tbl>
    <w:p w:rsidR="00296C1F" w:rsidRPr="000D71DC" w:rsidRDefault="00296C1F" w:rsidP="00296C1F">
      <w:pPr>
        <w:rPr>
          <w:rFonts w:ascii="Arial" w:eastAsia="Times New Roman" w:hAnsi="Arial" w:cs="Arial"/>
          <w:b/>
          <w:sz w:val="24"/>
          <w:szCs w:val="24"/>
          <w:u w:val="single"/>
          <w:lang w:eastAsia="es-ES"/>
        </w:rPr>
      </w:pPr>
    </w:p>
    <w:p w:rsidR="00296C1F" w:rsidRPr="006E4166" w:rsidRDefault="00296C1F" w:rsidP="00296C1F">
      <w:pPr>
        <w:rPr>
          <w:rFonts w:ascii="Arial" w:eastAsia="Times New Roman" w:hAnsi="Arial" w:cs="Arial"/>
          <w:b/>
          <w:sz w:val="24"/>
          <w:szCs w:val="24"/>
          <w:u w:val="single"/>
          <w:lang w:eastAsia="es-ES"/>
        </w:rPr>
      </w:pPr>
    </w:p>
    <w:p w:rsidR="00296C1F" w:rsidRDefault="00296C1F" w:rsidP="00296C1F">
      <w:pPr>
        <w:rPr>
          <w:rFonts w:ascii="Arial" w:eastAsia="Times New Roman" w:hAnsi="Arial" w:cs="Arial"/>
          <w:b/>
          <w:sz w:val="24"/>
          <w:szCs w:val="24"/>
          <w:u w:val="single"/>
          <w:lang w:val="es-CO" w:eastAsia="es-ES"/>
        </w:rPr>
      </w:pPr>
    </w:p>
    <w:p w:rsidR="00296C1F" w:rsidRDefault="00296C1F" w:rsidP="00296C1F">
      <w:pPr>
        <w:rPr>
          <w:rFonts w:ascii="Arial" w:eastAsia="Times New Roman" w:hAnsi="Arial" w:cs="Arial"/>
          <w:b/>
          <w:sz w:val="24"/>
          <w:szCs w:val="24"/>
          <w:u w:val="single"/>
          <w:lang w:val="es-CO" w:eastAsia="es-ES"/>
        </w:rPr>
      </w:pPr>
    </w:p>
    <w:p w:rsidR="00296C1F" w:rsidRDefault="00296C1F" w:rsidP="00296C1F">
      <w:pPr>
        <w:rPr>
          <w:rFonts w:ascii="Arial" w:eastAsia="Times New Roman" w:hAnsi="Arial" w:cs="Arial"/>
          <w:b/>
          <w:sz w:val="24"/>
          <w:szCs w:val="24"/>
          <w:u w:val="single"/>
          <w:lang w:val="es-CO" w:eastAsia="es-ES"/>
        </w:rPr>
      </w:pPr>
    </w:p>
    <w:p w:rsidR="005A48DD" w:rsidRDefault="005A48DD" w:rsidP="00296C1F">
      <w:pPr>
        <w:rPr>
          <w:rFonts w:ascii="Arial" w:eastAsia="Times New Roman" w:hAnsi="Arial" w:cs="Arial"/>
          <w:b/>
          <w:sz w:val="24"/>
          <w:szCs w:val="24"/>
          <w:u w:val="single"/>
          <w:lang w:val="es-CO" w:eastAsia="es-ES"/>
        </w:rPr>
      </w:pPr>
    </w:p>
    <w:p w:rsidR="005A48DD" w:rsidRDefault="005A48DD" w:rsidP="00296C1F">
      <w:pPr>
        <w:rPr>
          <w:rFonts w:ascii="Arial" w:eastAsia="Times New Roman" w:hAnsi="Arial" w:cs="Arial"/>
          <w:b/>
          <w:sz w:val="24"/>
          <w:szCs w:val="24"/>
          <w:u w:val="single"/>
          <w:lang w:val="es-CO" w:eastAsia="es-ES"/>
        </w:rPr>
      </w:pPr>
    </w:p>
    <w:p w:rsidR="005A48DD" w:rsidRDefault="005A48DD" w:rsidP="00296C1F">
      <w:pPr>
        <w:rPr>
          <w:rFonts w:ascii="Arial" w:eastAsia="Times New Roman" w:hAnsi="Arial" w:cs="Arial"/>
          <w:b/>
          <w:sz w:val="24"/>
          <w:szCs w:val="24"/>
          <w:u w:val="single"/>
          <w:lang w:val="es-CO" w:eastAsia="es-ES"/>
        </w:rPr>
      </w:pPr>
    </w:p>
    <w:p w:rsidR="005A48DD" w:rsidRDefault="005A48DD" w:rsidP="00296C1F">
      <w:pPr>
        <w:rPr>
          <w:rFonts w:ascii="Arial" w:eastAsia="Times New Roman" w:hAnsi="Arial" w:cs="Arial"/>
          <w:b/>
          <w:sz w:val="24"/>
          <w:szCs w:val="24"/>
          <w:u w:val="single"/>
          <w:lang w:val="es-CO" w:eastAsia="es-ES"/>
        </w:rPr>
      </w:pPr>
    </w:p>
    <w:p w:rsidR="005A48DD" w:rsidRDefault="005A48DD" w:rsidP="00296C1F">
      <w:pPr>
        <w:rPr>
          <w:rFonts w:ascii="Arial" w:eastAsia="Times New Roman" w:hAnsi="Arial" w:cs="Arial"/>
          <w:b/>
          <w:sz w:val="24"/>
          <w:szCs w:val="24"/>
          <w:u w:val="single"/>
          <w:lang w:val="es-CO" w:eastAsia="es-ES"/>
        </w:rPr>
      </w:pPr>
    </w:p>
    <w:p w:rsidR="005A48DD" w:rsidRDefault="005A48DD" w:rsidP="00296C1F">
      <w:pPr>
        <w:rPr>
          <w:rFonts w:ascii="Arial" w:eastAsia="Times New Roman" w:hAnsi="Arial" w:cs="Arial"/>
          <w:b/>
          <w:sz w:val="24"/>
          <w:szCs w:val="24"/>
          <w:u w:val="single"/>
          <w:lang w:val="es-CO" w:eastAsia="es-ES"/>
        </w:rPr>
      </w:pPr>
    </w:p>
    <w:p w:rsidR="00A96F26" w:rsidRDefault="00A96F26" w:rsidP="00296C1F">
      <w:pPr>
        <w:rPr>
          <w:rFonts w:ascii="Arial" w:eastAsia="Times New Roman" w:hAnsi="Arial" w:cs="Arial"/>
          <w:b/>
          <w:sz w:val="24"/>
          <w:szCs w:val="24"/>
          <w:u w:val="single"/>
          <w:lang w:val="es-CO" w:eastAsia="es-ES"/>
        </w:rPr>
      </w:pPr>
    </w:p>
    <w:p w:rsidR="00852DBF" w:rsidRDefault="00852DBF" w:rsidP="00296C1F">
      <w:pPr>
        <w:rPr>
          <w:rFonts w:ascii="Arial" w:eastAsia="Times New Roman" w:hAnsi="Arial" w:cs="Arial"/>
          <w:b/>
          <w:sz w:val="24"/>
          <w:szCs w:val="24"/>
          <w:u w:val="single"/>
          <w:lang w:val="es-CO" w:eastAsia="es-ES"/>
        </w:rPr>
      </w:pPr>
    </w:p>
    <w:p w:rsidR="00852DBF" w:rsidRDefault="00852DBF" w:rsidP="00296C1F">
      <w:pPr>
        <w:rPr>
          <w:rFonts w:ascii="Arial" w:eastAsia="Times New Roman" w:hAnsi="Arial" w:cs="Arial"/>
          <w:b/>
          <w:sz w:val="24"/>
          <w:szCs w:val="24"/>
          <w:u w:val="single"/>
          <w:lang w:val="es-CO" w:eastAsia="es-ES"/>
        </w:rPr>
      </w:pPr>
    </w:p>
    <w:p w:rsidR="00852DBF" w:rsidRDefault="00852DBF" w:rsidP="00296C1F">
      <w:pPr>
        <w:rPr>
          <w:rFonts w:ascii="Arial" w:eastAsia="Times New Roman" w:hAnsi="Arial" w:cs="Arial"/>
          <w:b/>
          <w:sz w:val="24"/>
          <w:szCs w:val="24"/>
          <w:u w:val="single"/>
          <w:lang w:val="es-CO" w:eastAsia="es-ES"/>
        </w:rPr>
      </w:pPr>
    </w:p>
    <w:p w:rsidR="00E515F7" w:rsidRDefault="00E515F7" w:rsidP="00296C1F">
      <w:pPr>
        <w:rPr>
          <w:rFonts w:ascii="Arial" w:eastAsia="Times New Roman" w:hAnsi="Arial" w:cs="Arial"/>
          <w:b/>
          <w:sz w:val="24"/>
          <w:szCs w:val="24"/>
          <w:u w:val="single"/>
          <w:lang w:val="es-CO" w:eastAsia="es-ES"/>
        </w:rPr>
      </w:pPr>
    </w:p>
    <w:p w:rsidR="00296C1F" w:rsidRDefault="00296C1F" w:rsidP="00296C1F">
      <w:pPr>
        <w:pStyle w:val="Prrafodelista"/>
        <w:spacing w:line="240" w:lineRule="auto"/>
        <w:ind w:left="1134"/>
        <w:rPr>
          <w:rFonts w:ascii="Arial" w:eastAsia="Times New Roman" w:hAnsi="Arial" w:cs="Arial"/>
          <w:b/>
          <w:sz w:val="24"/>
          <w:szCs w:val="24"/>
          <w:lang w:val="es-CO" w:eastAsia="es-ES"/>
        </w:rPr>
      </w:pPr>
      <w:r w:rsidRPr="00934434">
        <w:rPr>
          <w:rFonts w:ascii="Arial" w:eastAsia="Times New Roman" w:hAnsi="Arial" w:cs="Arial"/>
          <w:b/>
          <w:sz w:val="24"/>
          <w:szCs w:val="24"/>
          <w:lang w:val="es-CO" w:eastAsia="es-ES"/>
        </w:rPr>
        <w:lastRenderedPageBreak/>
        <w:t xml:space="preserve">7.2 Cuadro resumen del análisis del resultado: </w:t>
      </w:r>
      <w:r w:rsidR="005A48DD">
        <w:rPr>
          <w:rFonts w:ascii="Arial" w:eastAsia="Times New Roman" w:hAnsi="Arial" w:cs="Arial"/>
          <w:b/>
          <w:sz w:val="24"/>
          <w:szCs w:val="24"/>
          <w:lang w:val="es-CO" w:eastAsia="es-ES"/>
        </w:rPr>
        <w:t>No conformidades</w:t>
      </w:r>
    </w:p>
    <w:tbl>
      <w:tblPr>
        <w:tblStyle w:val="Tablaconcuadrcula1"/>
        <w:tblW w:w="0" w:type="auto"/>
        <w:tblLook w:val="04A0" w:firstRow="1" w:lastRow="0" w:firstColumn="1" w:lastColumn="0" w:noHBand="0" w:noVBand="1"/>
      </w:tblPr>
      <w:tblGrid>
        <w:gridCol w:w="688"/>
        <w:gridCol w:w="1729"/>
        <w:gridCol w:w="3569"/>
        <w:gridCol w:w="1928"/>
        <w:gridCol w:w="1990"/>
      </w:tblGrid>
      <w:tr w:rsidR="00296C1F" w:rsidRPr="00AF3255" w:rsidTr="001D58CE">
        <w:trPr>
          <w:trHeight w:val="141"/>
        </w:trPr>
        <w:tc>
          <w:tcPr>
            <w:tcW w:w="688" w:type="dxa"/>
            <w:shd w:val="clear" w:color="auto" w:fill="E7E6E6" w:themeFill="background2"/>
            <w:vAlign w:val="center"/>
          </w:tcPr>
          <w:p w:rsidR="00296C1F" w:rsidRPr="00AF3255" w:rsidRDefault="00296C1F" w:rsidP="00C87192">
            <w:pPr>
              <w:jc w:val="center"/>
              <w:rPr>
                <w:rFonts w:ascii="Arial" w:eastAsia="Times New Roman" w:hAnsi="Arial" w:cs="Arial"/>
                <w:b/>
                <w:sz w:val="24"/>
                <w:szCs w:val="24"/>
                <w:lang w:eastAsia="es-ES"/>
              </w:rPr>
            </w:pPr>
            <w:r w:rsidRPr="00AF3255">
              <w:rPr>
                <w:rFonts w:ascii="Arial" w:eastAsia="Times New Roman" w:hAnsi="Arial" w:cs="Arial"/>
                <w:b/>
                <w:sz w:val="24"/>
                <w:szCs w:val="24"/>
                <w:lang w:eastAsia="es-ES"/>
              </w:rPr>
              <w:t>No.</w:t>
            </w:r>
          </w:p>
        </w:tc>
        <w:tc>
          <w:tcPr>
            <w:tcW w:w="1729" w:type="dxa"/>
            <w:shd w:val="clear" w:color="auto" w:fill="E7E6E6" w:themeFill="background2"/>
            <w:vAlign w:val="center"/>
          </w:tcPr>
          <w:p w:rsidR="00296C1F" w:rsidRPr="00AF3255" w:rsidRDefault="00296C1F" w:rsidP="00C87192">
            <w:pPr>
              <w:jc w:val="center"/>
              <w:rPr>
                <w:rFonts w:ascii="Arial" w:eastAsia="Times New Roman" w:hAnsi="Arial" w:cs="Arial"/>
                <w:b/>
                <w:sz w:val="24"/>
                <w:szCs w:val="24"/>
                <w:lang w:eastAsia="es-ES"/>
              </w:rPr>
            </w:pPr>
            <w:r w:rsidRPr="00AF3255">
              <w:rPr>
                <w:rFonts w:ascii="Arial" w:eastAsia="Times New Roman" w:hAnsi="Arial" w:cs="Arial"/>
                <w:b/>
                <w:sz w:val="24"/>
                <w:szCs w:val="24"/>
                <w:lang w:eastAsia="es-ES"/>
              </w:rPr>
              <w:t>Proceso</w:t>
            </w:r>
          </w:p>
        </w:tc>
        <w:tc>
          <w:tcPr>
            <w:tcW w:w="3569" w:type="dxa"/>
            <w:shd w:val="clear" w:color="auto" w:fill="E7E6E6" w:themeFill="background2"/>
            <w:vAlign w:val="center"/>
          </w:tcPr>
          <w:p w:rsidR="00296C1F" w:rsidRPr="00AF3255" w:rsidRDefault="00296C1F" w:rsidP="005A48DD">
            <w:pPr>
              <w:jc w:val="center"/>
              <w:rPr>
                <w:rFonts w:ascii="Arial" w:eastAsia="Times New Roman" w:hAnsi="Arial" w:cs="Arial"/>
                <w:b/>
                <w:sz w:val="24"/>
                <w:szCs w:val="24"/>
                <w:lang w:eastAsia="es-ES"/>
              </w:rPr>
            </w:pPr>
            <w:r w:rsidRPr="00AF3255">
              <w:rPr>
                <w:rFonts w:ascii="Arial" w:eastAsia="Times New Roman" w:hAnsi="Arial" w:cs="Arial"/>
                <w:b/>
                <w:sz w:val="24"/>
                <w:szCs w:val="24"/>
                <w:lang w:eastAsia="es-ES"/>
              </w:rPr>
              <w:t xml:space="preserve">Descripción de </w:t>
            </w:r>
            <w:r w:rsidR="005A48DD">
              <w:rPr>
                <w:rFonts w:ascii="Arial" w:eastAsia="Times New Roman" w:hAnsi="Arial" w:cs="Arial"/>
                <w:b/>
                <w:sz w:val="24"/>
                <w:szCs w:val="24"/>
                <w:lang w:eastAsia="es-ES"/>
              </w:rPr>
              <w:t>las N</w:t>
            </w:r>
            <w:r w:rsidRPr="00AF3255">
              <w:rPr>
                <w:rFonts w:ascii="Arial" w:eastAsia="Times New Roman" w:hAnsi="Arial" w:cs="Arial"/>
                <w:b/>
                <w:sz w:val="24"/>
                <w:szCs w:val="24"/>
                <w:lang w:eastAsia="es-ES"/>
              </w:rPr>
              <w:t>o conformidad</w:t>
            </w:r>
            <w:r w:rsidR="005A48DD">
              <w:rPr>
                <w:rFonts w:ascii="Arial" w:eastAsia="Times New Roman" w:hAnsi="Arial" w:cs="Arial"/>
                <w:b/>
                <w:sz w:val="24"/>
                <w:szCs w:val="24"/>
                <w:lang w:eastAsia="es-ES"/>
              </w:rPr>
              <w:t>es</w:t>
            </w:r>
          </w:p>
        </w:tc>
        <w:tc>
          <w:tcPr>
            <w:tcW w:w="1928" w:type="dxa"/>
            <w:shd w:val="clear" w:color="auto" w:fill="E7E6E6" w:themeFill="background2"/>
            <w:vAlign w:val="center"/>
          </w:tcPr>
          <w:p w:rsidR="00296C1F" w:rsidRPr="00AF3255" w:rsidRDefault="00296C1F" w:rsidP="00C87192">
            <w:pPr>
              <w:jc w:val="center"/>
              <w:rPr>
                <w:rFonts w:ascii="Arial" w:eastAsia="Times New Roman" w:hAnsi="Arial" w:cs="Arial"/>
                <w:b/>
                <w:sz w:val="24"/>
                <w:szCs w:val="24"/>
                <w:lang w:eastAsia="es-ES"/>
              </w:rPr>
            </w:pPr>
            <w:r w:rsidRPr="00AF3255">
              <w:rPr>
                <w:rFonts w:ascii="Arial" w:eastAsia="Times New Roman" w:hAnsi="Arial" w:cs="Arial"/>
                <w:b/>
                <w:sz w:val="24"/>
                <w:szCs w:val="24"/>
                <w:lang w:eastAsia="es-ES"/>
              </w:rPr>
              <w:t>Numeral</w:t>
            </w:r>
          </w:p>
        </w:tc>
        <w:tc>
          <w:tcPr>
            <w:tcW w:w="1990" w:type="dxa"/>
            <w:shd w:val="clear" w:color="auto" w:fill="E7E6E6" w:themeFill="background2"/>
            <w:vAlign w:val="center"/>
          </w:tcPr>
          <w:p w:rsidR="00296C1F" w:rsidRPr="00AF3255" w:rsidRDefault="00296C1F" w:rsidP="00C87192">
            <w:pPr>
              <w:jc w:val="center"/>
              <w:rPr>
                <w:rFonts w:ascii="Arial" w:eastAsia="Times New Roman" w:hAnsi="Arial" w:cs="Arial"/>
                <w:b/>
                <w:sz w:val="24"/>
                <w:szCs w:val="24"/>
                <w:lang w:eastAsia="es-ES"/>
              </w:rPr>
            </w:pPr>
            <w:r w:rsidRPr="00AF3255">
              <w:rPr>
                <w:rFonts w:ascii="Arial" w:eastAsia="Times New Roman" w:hAnsi="Arial" w:cs="Arial"/>
                <w:b/>
                <w:sz w:val="24"/>
                <w:szCs w:val="24"/>
                <w:lang w:eastAsia="es-ES"/>
              </w:rPr>
              <w:t>Responsable</w:t>
            </w:r>
          </w:p>
        </w:tc>
      </w:tr>
      <w:tr w:rsidR="00296C1F" w:rsidRPr="00AF3255" w:rsidTr="001D58CE">
        <w:trPr>
          <w:trHeight w:val="533"/>
        </w:trPr>
        <w:tc>
          <w:tcPr>
            <w:tcW w:w="688" w:type="dxa"/>
          </w:tcPr>
          <w:p w:rsidR="00296C1F" w:rsidRPr="00AF3255" w:rsidRDefault="0039749B" w:rsidP="00C87192">
            <w:pPr>
              <w:rPr>
                <w:rFonts w:ascii="Arial" w:eastAsia="Times New Roman" w:hAnsi="Arial" w:cs="Arial"/>
                <w:b/>
                <w:sz w:val="24"/>
                <w:szCs w:val="24"/>
                <w:u w:val="single"/>
                <w:lang w:eastAsia="es-ES"/>
              </w:rPr>
            </w:pPr>
            <w:r>
              <w:rPr>
                <w:rFonts w:ascii="Arial" w:hAnsi="Arial" w:cs="Arial"/>
                <w:b/>
                <w:bCs/>
                <w:color w:val="000000"/>
                <w:sz w:val="17"/>
                <w:szCs w:val="17"/>
              </w:rPr>
              <w:t>604</w:t>
            </w:r>
          </w:p>
        </w:tc>
        <w:tc>
          <w:tcPr>
            <w:tcW w:w="1729" w:type="dxa"/>
            <w:vMerge w:val="restart"/>
          </w:tcPr>
          <w:p w:rsidR="00296C1F" w:rsidRPr="00AF3255" w:rsidRDefault="0039749B" w:rsidP="00C87192">
            <w:pPr>
              <w:rPr>
                <w:rFonts w:ascii="Arial" w:eastAsia="Times New Roman" w:hAnsi="Arial" w:cs="Arial"/>
                <w:b/>
                <w:sz w:val="24"/>
                <w:szCs w:val="24"/>
                <w:u w:val="single"/>
                <w:lang w:eastAsia="es-ES"/>
              </w:rPr>
            </w:pPr>
            <w:r w:rsidRPr="0039749B">
              <w:rPr>
                <w:rFonts w:ascii="Arial" w:eastAsia="Times New Roman" w:hAnsi="Arial" w:cs="Arial"/>
                <w:sz w:val="20"/>
                <w:szCs w:val="20"/>
                <w:lang w:eastAsia="es-ES"/>
              </w:rPr>
              <w:t>Control Financiero Contable de las CCF</w:t>
            </w:r>
          </w:p>
        </w:tc>
        <w:tc>
          <w:tcPr>
            <w:tcW w:w="3569" w:type="dxa"/>
          </w:tcPr>
          <w:p w:rsidR="00296C1F" w:rsidRPr="00AF3255" w:rsidRDefault="0039749B" w:rsidP="00C87192">
            <w:pPr>
              <w:rPr>
                <w:rFonts w:ascii="Arial" w:eastAsia="Times New Roman" w:hAnsi="Arial" w:cs="Arial"/>
                <w:b/>
                <w:sz w:val="24"/>
                <w:szCs w:val="24"/>
                <w:u w:val="single"/>
                <w:lang w:eastAsia="es-ES"/>
              </w:rPr>
            </w:pPr>
            <w:r w:rsidRPr="0039749B">
              <w:rPr>
                <w:rFonts w:ascii="Arial" w:hAnsi="Arial" w:cs="Arial"/>
                <w:color w:val="333333"/>
                <w:sz w:val="17"/>
                <w:szCs w:val="17"/>
              </w:rPr>
              <w:t>De acuerdo a lo establecido en el Plan de Acción para la vigencia del 2014 la actividad de ´´revisar y analizar los Presupuestos de ingresos y egresos de las 43 Cajas de Compensación Familiar´´ para el primer semestre, de las cuales 35 para el primer trimestre y 8 cajas para el segundo trimestre del 2014. Se evidencio que no se cumplió con esta actividad debido a que 2 estudios de los Presupuestos fueron entregados en el segundo semestre del 2014, así: • Se evidencio que el presupuesto de la vigencia del 2013 de la Caja de Compensación COMFACAUCA, se radico en la Superintendencia el 21 de enero del 2014 y en la Dirección Financiera Contable se radico el 30 de abril del 2014 ese día fue asignado a la funcionaria YARITZA LOBO y la fecha de entrega del estudio por parte de la funcionaria fue en septiembre 25 del 2014. • Se evidencio que el presupuesto de la vigencia del 2013 de la Caja de Compensación CAFAMAZ se radico en la Superintendencia en la Dirección Financiera el 30 abril del 2014 y fue asignado al funcionario LIBARDO JIMENEZ el 5 de mayo del 2014, fecha de entrega del estudio por parte del funcionario el 22 de octubre del 2014.</w:t>
            </w:r>
          </w:p>
        </w:tc>
        <w:tc>
          <w:tcPr>
            <w:tcW w:w="1928" w:type="dxa"/>
          </w:tcPr>
          <w:p w:rsidR="00296C1F" w:rsidRPr="00AF3255" w:rsidRDefault="0039749B" w:rsidP="00C87192">
            <w:pPr>
              <w:rPr>
                <w:rFonts w:ascii="Arial" w:eastAsia="Times New Roman" w:hAnsi="Arial" w:cs="Arial"/>
                <w:b/>
                <w:sz w:val="24"/>
                <w:szCs w:val="24"/>
                <w:u w:val="single"/>
                <w:lang w:eastAsia="es-ES"/>
              </w:rPr>
            </w:pPr>
            <w:r>
              <w:rPr>
                <w:rFonts w:ascii="Arial" w:hAnsi="Arial" w:cs="Arial"/>
                <w:color w:val="333333"/>
                <w:sz w:val="17"/>
                <w:szCs w:val="17"/>
              </w:rPr>
              <w:t>NTC GP 1000:2009</w:t>
            </w:r>
            <w:r>
              <w:rPr>
                <w:rFonts w:ascii="Arial" w:hAnsi="Arial" w:cs="Arial"/>
                <w:color w:val="333333"/>
                <w:sz w:val="17"/>
                <w:szCs w:val="17"/>
              </w:rPr>
              <w:br/>
              <w:t>- 4.2.3 Control de documentos 4.2 Gestión documental</w:t>
            </w:r>
            <w:r>
              <w:rPr>
                <w:rFonts w:ascii="Arial" w:hAnsi="Arial" w:cs="Arial"/>
                <w:color w:val="333333"/>
                <w:sz w:val="17"/>
                <w:szCs w:val="17"/>
              </w:rPr>
              <w:br/>
              <w:t>- 4.2.4 Control de los registros 4.2 Gestión documental</w:t>
            </w:r>
            <w:r>
              <w:rPr>
                <w:rFonts w:ascii="Arial" w:hAnsi="Arial" w:cs="Arial"/>
                <w:color w:val="333333"/>
                <w:sz w:val="17"/>
                <w:szCs w:val="17"/>
              </w:rPr>
              <w:br/>
              <w:t>MECI 1000:2005</w:t>
            </w:r>
            <w:r>
              <w:rPr>
                <w:rFonts w:ascii="Arial" w:hAnsi="Arial" w:cs="Arial"/>
                <w:color w:val="333333"/>
                <w:sz w:val="17"/>
                <w:szCs w:val="17"/>
              </w:rPr>
              <w:br/>
              <w:t>- 2.1.5 Manual de procedimientos 2. Subsistema de Control de Gestión 2.1 Componente actividades de control.</w:t>
            </w:r>
            <w:r>
              <w:rPr>
                <w:rFonts w:ascii="Arial" w:hAnsi="Arial" w:cs="Arial"/>
                <w:color w:val="333333"/>
                <w:sz w:val="17"/>
                <w:szCs w:val="17"/>
              </w:rPr>
              <w:br/>
              <w:t>- 2.3.2 Comunicación informativa 2. Subsistema de Control de Gestión 2.3 Componente comunicación pública.</w:t>
            </w:r>
          </w:p>
        </w:tc>
        <w:tc>
          <w:tcPr>
            <w:tcW w:w="1990" w:type="dxa"/>
            <w:vMerge w:val="restart"/>
          </w:tcPr>
          <w:p w:rsidR="00296C1F" w:rsidRPr="00AF3255" w:rsidRDefault="00CD6F41" w:rsidP="00CD6F41">
            <w:pPr>
              <w:rPr>
                <w:rFonts w:ascii="Arial" w:eastAsia="Times New Roman" w:hAnsi="Arial" w:cs="Arial"/>
                <w:b/>
                <w:sz w:val="24"/>
                <w:szCs w:val="24"/>
                <w:u w:val="single"/>
                <w:lang w:eastAsia="es-ES"/>
              </w:rPr>
            </w:pPr>
            <w:r w:rsidRPr="008B0ACB">
              <w:rPr>
                <w:rFonts w:ascii="Arial" w:hAnsi="Arial" w:cs="Arial"/>
                <w:color w:val="333333"/>
                <w:sz w:val="17"/>
                <w:szCs w:val="17"/>
              </w:rPr>
              <w:t>Director para la Gestión Financiera y Contable</w:t>
            </w:r>
          </w:p>
        </w:tc>
      </w:tr>
      <w:tr w:rsidR="00296C1F" w:rsidRPr="00AF3255" w:rsidTr="001D58CE">
        <w:trPr>
          <w:trHeight w:val="532"/>
        </w:trPr>
        <w:tc>
          <w:tcPr>
            <w:tcW w:w="688" w:type="dxa"/>
          </w:tcPr>
          <w:p w:rsidR="00296C1F" w:rsidRPr="00AF3255" w:rsidRDefault="0039749B" w:rsidP="00C87192">
            <w:pPr>
              <w:rPr>
                <w:rFonts w:ascii="Arial" w:hAnsi="Arial" w:cs="Arial"/>
                <w:b/>
                <w:bCs/>
                <w:color w:val="000000"/>
                <w:sz w:val="17"/>
                <w:szCs w:val="17"/>
              </w:rPr>
            </w:pPr>
            <w:r>
              <w:rPr>
                <w:rFonts w:ascii="Arial" w:hAnsi="Arial" w:cs="Arial"/>
                <w:b/>
                <w:bCs/>
                <w:color w:val="000000"/>
                <w:sz w:val="17"/>
                <w:szCs w:val="17"/>
              </w:rPr>
              <w:t>605</w:t>
            </w:r>
          </w:p>
        </w:tc>
        <w:tc>
          <w:tcPr>
            <w:tcW w:w="1729" w:type="dxa"/>
            <w:vMerge/>
          </w:tcPr>
          <w:p w:rsidR="00296C1F" w:rsidRPr="00AF3255" w:rsidRDefault="00296C1F" w:rsidP="00C87192">
            <w:pPr>
              <w:rPr>
                <w:rFonts w:ascii="Arial" w:eastAsia="Times New Roman" w:hAnsi="Arial" w:cs="Arial"/>
                <w:sz w:val="20"/>
                <w:szCs w:val="20"/>
                <w:lang w:eastAsia="es-ES"/>
              </w:rPr>
            </w:pPr>
          </w:p>
        </w:tc>
        <w:tc>
          <w:tcPr>
            <w:tcW w:w="3569" w:type="dxa"/>
          </w:tcPr>
          <w:p w:rsidR="00296C1F" w:rsidRPr="00AF3255" w:rsidRDefault="0039749B" w:rsidP="00C87192">
            <w:pPr>
              <w:rPr>
                <w:rFonts w:ascii="Arial" w:hAnsi="Arial" w:cs="Arial"/>
                <w:color w:val="333333"/>
                <w:sz w:val="17"/>
                <w:szCs w:val="17"/>
              </w:rPr>
            </w:pPr>
            <w:r>
              <w:rPr>
                <w:rFonts w:ascii="Arial" w:hAnsi="Arial" w:cs="Arial"/>
                <w:color w:val="333333"/>
                <w:sz w:val="17"/>
                <w:szCs w:val="17"/>
              </w:rPr>
              <w:t>De acuerdo a lo establecido en el Plan de Acción para la vigencia del 2014 en la actividad de ´´revisar y analizar los Estados Financieros de las 43 Cajas de Compensación Familiar´´ para el primer semestre del año 2014 de los cuales 35 para el primer trimestre y 8 para el segundo trimestre del 2014. Se evidencio que no se cumplió esta actividad debido a que 3 estudios de los Estados Financieros fueron entregados en el segundo semestre del 2014, así: • Se evidencio que los Estados Financieros de la vigencia del 2013 de la Caja de Compensación Familiar COMFAMA fueron radicados el 5 de marzo del 2014 y fue asignado a la funcionaria YARITZA LOBO el 5 marzo del 2014, fecha de entrega del informe por parte del funcionario el 10 de noviembre del 2014. • Se evidencio que los Estados Financieros de la vigencia del 2013 de la Caja de Compensación Familiar COMFACAUCA fueron radicados el 3 de marzo del 2014 y fue asignado a la funcionaria YARITZA LOBO el 3 marzo del 2014, fecha de entrega del informe por parte de la funcionaria el 25 de septiembre del 2014.</w:t>
            </w:r>
          </w:p>
        </w:tc>
        <w:tc>
          <w:tcPr>
            <w:tcW w:w="1928" w:type="dxa"/>
          </w:tcPr>
          <w:p w:rsidR="00296C1F" w:rsidRPr="00AF3255" w:rsidRDefault="0039749B" w:rsidP="00C87192">
            <w:pPr>
              <w:rPr>
                <w:rFonts w:ascii="Arial" w:hAnsi="Arial" w:cs="Arial"/>
                <w:color w:val="333333"/>
                <w:sz w:val="17"/>
                <w:szCs w:val="17"/>
              </w:rPr>
            </w:pPr>
            <w:r>
              <w:rPr>
                <w:rFonts w:ascii="Arial" w:hAnsi="Arial" w:cs="Arial"/>
                <w:color w:val="333333"/>
                <w:sz w:val="17"/>
                <w:szCs w:val="17"/>
              </w:rPr>
              <w:t>NTC GP 1000:2009</w:t>
            </w:r>
            <w:r>
              <w:rPr>
                <w:rFonts w:ascii="Arial" w:hAnsi="Arial" w:cs="Arial"/>
                <w:color w:val="333333"/>
                <w:sz w:val="17"/>
                <w:szCs w:val="17"/>
              </w:rPr>
              <w:br/>
              <w:t xml:space="preserve">- 4.2.1 Generalidades 4.2 Gestión documental </w:t>
            </w:r>
            <w:r>
              <w:rPr>
                <w:rFonts w:ascii="Arial" w:hAnsi="Arial" w:cs="Arial"/>
                <w:color w:val="333333"/>
                <w:sz w:val="17"/>
                <w:szCs w:val="17"/>
              </w:rPr>
              <w:br/>
              <w:t>- 4.2.3 Control de documentos 4.2 Gestión documental</w:t>
            </w:r>
            <w:r>
              <w:rPr>
                <w:rFonts w:ascii="Arial" w:hAnsi="Arial" w:cs="Arial"/>
                <w:color w:val="333333"/>
                <w:sz w:val="17"/>
                <w:szCs w:val="17"/>
              </w:rPr>
              <w:br/>
              <w:t>- 5.1 Compromiso de la dirección 5. RESPONSABILIDAD DE LA DIRECCION</w:t>
            </w:r>
            <w:r>
              <w:rPr>
                <w:rFonts w:ascii="Arial" w:hAnsi="Arial" w:cs="Arial"/>
                <w:color w:val="333333"/>
                <w:sz w:val="17"/>
                <w:szCs w:val="17"/>
              </w:rPr>
              <w:br/>
              <w:t>MECI 1000:2005</w:t>
            </w:r>
            <w:r>
              <w:rPr>
                <w:rFonts w:ascii="Arial" w:hAnsi="Arial" w:cs="Arial"/>
                <w:color w:val="333333"/>
                <w:sz w:val="17"/>
                <w:szCs w:val="17"/>
              </w:rPr>
              <w:br/>
              <w:t>- 2.1.3 Controles 2. Subsistema de Control de Gestión 2.1 Componente actividades de control.</w:t>
            </w:r>
            <w:r>
              <w:rPr>
                <w:rFonts w:ascii="Arial" w:hAnsi="Arial" w:cs="Arial"/>
                <w:color w:val="333333"/>
                <w:sz w:val="17"/>
                <w:szCs w:val="17"/>
              </w:rPr>
              <w:br/>
              <w:t>- 2.1.5 Manual de procedimientos 2. Subsistema de Control de Gestión 2.1 Componente actividades de control.</w:t>
            </w:r>
          </w:p>
        </w:tc>
        <w:tc>
          <w:tcPr>
            <w:tcW w:w="1990" w:type="dxa"/>
            <w:vMerge/>
          </w:tcPr>
          <w:p w:rsidR="00296C1F" w:rsidRPr="00AF3255" w:rsidRDefault="00296C1F" w:rsidP="00C87192">
            <w:pPr>
              <w:rPr>
                <w:rFonts w:ascii="Arial" w:hAnsi="Arial" w:cs="Arial"/>
                <w:color w:val="333333"/>
                <w:sz w:val="17"/>
                <w:szCs w:val="17"/>
              </w:rPr>
            </w:pPr>
          </w:p>
        </w:tc>
      </w:tr>
      <w:tr w:rsidR="00296C1F" w:rsidRPr="00AF3255" w:rsidTr="001D58CE">
        <w:trPr>
          <w:trHeight w:val="532"/>
        </w:trPr>
        <w:tc>
          <w:tcPr>
            <w:tcW w:w="688" w:type="dxa"/>
          </w:tcPr>
          <w:p w:rsidR="00296C1F" w:rsidRPr="00AF3255" w:rsidRDefault="0039749B" w:rsidP="00C87192">
            <w:pPr>
              <w:rPr>
                <w:rFonts w:ascii="Arial" w:hAnsi="Arial" w:cs="Arial"/>
                <w:b/>
                <w:bCs/>
                <w:color w:val="000000"/>
                <w:sz w:val="17"/>
                <w:szCs w:val="17"/>
              </w:rPr>
            </w:pPr>
            <w:r>
              <w:rPr>
                <w:rFonts w:ascii="Arial" w:hAnsi="Arial" w:cs="Arial"/>
                <w:b/>
                <w:bCs/>
                <w:color w:val="000000"/>
                <w:sz w:val="17"/>
                <w:szCs w:val="17"/>
              </w:rPr>
              <w:t>606</w:t>
            </w:r>
          </w:p>
        </w:tc>
        <w:tc>
          <w:tcPr>
            <w:tcW w:w="1729" w:type="dxa"/>
            <w:vMerge/>
          </w:tcPr>
          <w:p w:rsidR="00296C1F" w:rsidRPr="00AF3255" w:rsidRDefault="00296C1F" w:rsidP="00C87192">
            <w:pPr>
              <w:rPr>
                <w:rFonts w:ascii="Arial" w:eastAsia="Times New Roman" w:hAnsi="Arial" w:cs="Arial"/>
                <w:sz w:val="20"/>
                <w:szCs w:val="20"/>
                <w:lang w:eastAsia="es-ES"/>
              </w:rPr>
            </w:pPr>
          </w:p>
        </w:tc>
        <w:tc>
          <w:tcPr>
            <w:tcW w:w="3569" w:type="dxa"/>
          </w:tcPr>
          <w:p w:rsidR="00296C1F" w:rsidRPr="00AF3255" w:rsidRDefault="0039749B" w:rsidP="00C87192">
            <w:pPr>
              <w:rPr>
                <w:rFonts w:ascii="Arial" w:hAnsi="Arial" w:cs="Arial"/>
                <w:color w:val="333333"/>
                <w:sz w:val="17"/>
                <w:szCs w:val="17"/>
              </w:rPr>
            </w:pPr>
            <w:r>
              <w:rPr>
                <w:rFonts w:ascii="Arial" w:hAnsi="Arial" w:cs="Arial"/>
                <w:color w:val="333333"/>
                <w:sz w:val="17"/>
                <w:szCs w:val="17"/>
              </w:rPr>
              <w:t xml:space="preserve">Se evidencia que en la vigencia del 2014 no hubo un cumplimiento al 100% en el Plan de Acción propuesto frente a la actividad “Acompañar en el proceso de convergencia de las Cajas de Compensación Familiar a Normas Internacionales NIIF”, los siguientes indicadores no cumplieron con la meta programa para la vigencia 2014: • Informes Entregados: como meta se planearon 3 informes, de los cuales se hizo 1 socialización de los informes 1 y 2, en la </w:t>
            </w:r>
            <w:r>
              <w:rPr>
                <w:rFonts w:ascii="Arial" w:hAnsi="Arial" w:cs="Arial"/>
                <w:color w:val="333333"/>
                <w:sz w:val="17"/>
                <w:szCs w:val="17"/>
              </w:rPr>
              <w:lastRenderedPageBreak/>
              <w:t>cual participaron 16 funcionarios de la dirección financiera y contable de la superintendencia. El nivel de cumplimiento fue de 66,66% presentando atraso significativo.</w:t>
            </w:r>
          </w:p>
        </w:tc>
        <w:tc>
          <w:tcPr>
            <w:tcW w:w="1928" w:type="dxa"/>
          </w:tcPr>
          <w:p w:rsidR="00296C1F" w:rsidRPr="00AF3255" w:rsidRDefault="00296C1F" w:rsidP="00C87192">
            <w:pPr>
              <w:rPr>
                <w:rFonts w:ascii="Arial" w:hAnsi="Arial" w:cs="Arial"/>
                <w:color w:val="333333"/>
                <w:sz w:val="17"/>
                <w:szCs w:val="17"/>
              </w:rPr>
            </w:pPr>
            <w:r w:rsidRPr="00AF3255">
              <w:rPr>
                <w:rFonts w:ascii="Arial" w:hAnsi="Arial" w:cs="Arial"/>
                <w:color w:val="333333"/>
                <w:sz w:val="17"/>
                <w:szCs w:val="17"/>
              </w:rPr>
              <w:lastRenderedPageBreak/>
              <w:t>NTC GP 1000:2004</w:t>
            </w:r>
            <w:r w:rsidRPr="00AF3255">
              <w:rPr>
                <w:rFonts w:ascii="Arial" w:hAnsi="Arial" w:cs="Arial"/>
                <w:color w:val="333333"/>
                <w:sz w:val="17"/>
                <w:szCs w:val="17"/>
              </w:rPr>
              <w:br/>
              <w:t xml:space="preserve">- 4.1 Requisitos generales 4. SISTEMA DE GESTION DE LA CALIDAD </w:t>
            </w:r>
            <w:r w:rsidRPr="00AF3255">
              <w:rPr>
                <w:rFonts w:ascii="Arial" w:hAnsi="Arial" w:cs="Arial"/>
                <w:color w:val="333333"/>
                <w:sz w:val="17"/>
                <w:szCs w:val="17"/>
              </w:rPr>
              <w:br/>
              <w:t xml:space="preserve">- 7.5.1 Control de la producción y de la prestación del servicio 7.5 Producción y </w:t>
            </w:r>
            <w:r w:rsidRPr="00AF3255">
              <w:rPr>
                <w:rFonts w:ascii="Arial" w:hAnsi="Arial" w:cs="Arial"/>
                <w:color w:val="333333"/>
                <w:sz w:val="17"/>
                <w:szCs w:val="17"/>
              </w:rPr>
              <w:lastRenderedPageBreak/>
              <w:t>prestación del servicio</w:t>
            </w:r>
          </w:p>
        </w:tc>
        <w:tc>
          <w:tcPr>
            <w:tcW w:w="1990" w:type="dxa"/>
            <w:vMerge/>
          </w:tcPr>
          <w:p w:rsidR="00296C1F" w:rsidRPr="00AF3255" w:rsidRDefault="00296C1F" w:rsidP="00C87192">
            <w:pPr>
              <w:rPr>
                <w:rFonts w:ascii="Arial" w:hAnsi="Arial" w:cs="Arial"/>
                <w:color w:val="333333"/>
                <w:sz w:val="17"/>
                <w:szCs w:val="17"/>
              </w:rPr>
            </w:pPr>
          </w:p>
        </w:tc>
      </w:tr>
      <w:tr w:rsidR="00296C1F" w:rsidRPr="00AF3255" w:rsidTr="001D58CE">
        <w:trPr>
          <w:trHeight w:val="23"/>
        </w:trPr>
        <w:tc>
          <w:tcPr>
            <w:tcW w:w="688" w:type="dxa"/>
          </w:tcPr>
          <w:p w:rsidR="00296C1F" w:rsidRPr="00AF3255" w:rsidRDefault="008B0ACB" w:rsidP="00C87192">
            <w:pPr>
              <w:rPr>
                <w:rFonts w:ascii="Arial" w:hAnsi="Arial" w:cs="Arial"/>
                <w:b/>
                <w:bCs/>
                <w:color w:val="000000"/>
                <w:sz w:val="17"/>
                <w:szCs w:val="17"/>
              </w:rPr>
            </w:pPr>
            <w:r>
              <w:rPr>
                <w:rFonts w:ascii="Arial" w:hAnsi="Arial" w:cs="Arial"/>
                <w:b/>
                <w:bCs/>
                <w:color w:val="000000"/>
                <w:sz w:val="17"/>
                <w:szCs w:val="17"/>
              </w:rPr>
              <w:lastRenderedPageBreak/>
              <w:t>600</w:t>
            </w:r>
          </w:p>
        </w:tc>
        <w:tc>
          <w:tcPr>
            <w:tcW w:w="1729" w:type="dxa"/>
            <w:vMerge w:val="restart"/>
          </w:tcPr>
          <w:p w:rsidR="00296C1F" w:rsidRPr="00AF3255" w:rsidRDefault="008B0ACB" w:rsidP="00C87192">
            <w:pPr>
              <w:rPr>
                <w:rFonts w:ascii="Arial" w:eastAsia="Times New Roman" w:hAnsi="Arial" w:cs="Arial"/>
                <w:sz w:val="20"/>
                <w:szCs w:val="20"/>
                <w:lang w:eastAsia="es-ES"/>
              </w:rPr>
            </w:pPr>
            <w:r w:rsidRPr="008B0ACB">
              <w:rPr>
                <w:rFonts w:ascii="Arial" w:eastAsia="Times New Roman" w:hAnsi="Arial" w:cs="Arial"/>
                <w:sz w:val="20"/>
                <w:szCs w:val="20"/>
                <w:lang w:eastAsia="es-ES"/>
              </w:rPr>
              <w:t>Gestión del Talento Humano</w:t>
            </w:r>
          </w:p>
        </w:tc>
        <w:tc>
          <w:tcPr>
            <w:tcW w:w="3569" w:type="dxa"/>
          </w:tcPr>
          <w:p w:rsidR="00296C1F" w:rsidRPr="00AF3255" w:rsidRDefault="008B0ACB" w:rsidP="008B0ACB">
            <w:pPr>
              <w:jc w:val="both"/>
              <w:rPr>
                <w:rFonts w:ascii="Arial" w:hAnsi="Arial" w:cs="Arial"/>
                <w:color w:val="333333"/>
                <w:sz w:val="17"/>
                <w:szCs w:val="17"/>
              </w:rPr>
            </w:pPr>
            <w:r w:rsidRPr="008B0ACB">
              <w:rPr>
                <w:rFonts w:ascii="Arial" w:hAnsi="Arial" w:cs="Arial"/>
                <w:color w:val="333333"/>
                <w:sz w:val="17"/>
                <w:szCs w:val="17"/>
              </w:rPr>
              <w:t>Se evidenció que en la nómina de Noviembre de 2014 se pagó al funcionario Jesús Hernán Sánchez Páez 4,25 horas extras nocturnas y 4 horas extras diurnas para un valor de $63.384 sin resolución aprobada correspondientes al mes de octubre. Mediante resolución No. 0852 del 27/11/2014 se aprobó el pago de las horas extras del mes de octubre y no se encontraba incluido el funcionario Jesús Hernán, resolución con la que se pagaron todas las horas extras del mes de octubre. Sin embargo, en el mes de diciembre se volvieron a pagar estas horas extras con la Resolución 0891 del 17/12/2014, por lo tanto se encuentra que se generó un doble pago, situación que afectó los aportes de Seguridad Social en su momento. A la fecha no se verifica que hayan sido descontados</w:t>
            </w:r>
          </w:p>
        </w:tc>
        <w:tc>
          <w:tcPr>
            <w:tcW w:w="1928" w:type="dxa"/>
          </w:tcPr>
          <w:p w:rsidR="00296C1F" w:rsidRPr="00AF3255" w:rsidRDefault="008B0ACB" w:rsidP="00C87192">
            <w:pPr>
              <w:rPr>
                <w:rFonts w:ascii="Arial" w:hAnsi="Arial" w:cs="Arial"/>
                <w:color w:val="333333"/>
                <w:sz w:val="17"/>
                <w:szCs w:val="17"/>
              </w:rPr>
            </w:pPr>
            <w:r>
              <w:rPr>
                <w:rFonts w:ascii="Arial" w:hAnsi="Arial" w:cs="Arial"/>
                <w:color w:val="333333"/>
                <w:sz w:val="17"/>
                <w:szCs w:val="17"/>
              </w:rPr>
              <w:t>MECI 1000:2005</w:t>
            </w:r>
            <w:r>
              <w:rPr>
                <w:rFonts w:ascii="Arial" w:hAnsi="Arial" w:cs="Arial"/>
                <w:color w:val="333333"/>
                <w:sz w:val="17"/>
                <w:szCs w:val="17"/>
              </w:rPr>
              <w:br/>
              <w:t>- 2.1.3 Controles 2. Subsistema de Control de Gestión 2.1 Componente actividades de control.</w:t>
            </w:r>
          </w:p>
        </w:tc>
        <w:tc>
          <w:tcPr>
            <w:tcW w:w="1990" w:type="dxa"/>
            <w:vMerge w:val="restart"/>
          </w:tcPr>
          <w:p w:rsidR="00296C1F" w:rsidRPr="00AF3255" w:rsidRDefault="008B0ACB" w:rsidP="00C87192">
            <w:pPr>
              <w:rPr>
                <w:rFonts w:ascii="Arial" w:hAnsi="Arial" w:cs="Arial"/>
                <w:color w:val="333333"/>
                <w:sz w:val="17"/>
                <w:szCs w:val="17"/>
              </w:rPr>
            </w:pPr>
            <w:r>
              <w:rPr>
                <w:rFonts w:ascii="Arial" w:hAnsi="Arial" w:cs="Arial"/>
                <w:color w:val="333333"/>
                <w:sz w:val="17"/>
                <w:szCs w:val="17"/>
                <w:lang w:val="es-CO"/>
              </w:rPr>
              <w:t xml:space="preserve">Coordinador </w:t>
            </w:r>
            <w:r w:rsidRPr="008B0ACB">
              <w:rPr>
                <w:rFonts w:ascii="Arial" w:hAnsi="Arial" w:cs="Arial"/>
                <w:color w:val="333333"/>
                <w:sz w:val="17"/>
                <w:szCs w:val="17"/>
                <w:lang w:val="es-CO"/>
              </w:rPr>
              <w:t xml:space="preserve">Grupo de </w:t>
            </w:r>
            <w:r w:rsidRPr="008B0ACB">
              <w:rPr>
                <w:rFonts w:ascii="Arial" w:hAnsi="Arial" w:cs="Arial"/>
                <w:color w:val="333333"/>
                <w:sz w:val="17"/>
                <w:szCs w:val="17"/>
              </w:rPr>
              <w:t>Gestión del Talento Humano</w:t>
            </w:r>
          </w:p>
        </w:tc>
      </w:tr>
      <w:tr w:rsidR="00296C1F" w:rsidRPr="00AF3255" w:rsidTr="001D58CE">
        <w:trPr>
          <w:trHeight w:val="23"/>
        </w:trPr>
        <w:tc>
          <w:tcPr>
            <w:tcW w:w="688" w:type="dxa"/>
          </w:tcPr>
          <w:p w:rsidR="00296C1F" w:rsidRPr="00AF3255" w:rsidRDefault="008B0ACB" w:rsidP="00C87192">
            <w:pPr>
              <w:rPr>
                <w:rFonts w:ascii="Arial" w:hAnsi="Arial" w:cs="Arial"/>
                <w:b/>
                <w:bCs/>
                <w:color w:val="000000"/>
                <w:sz w:val="17"/>
                <w:szCs w:val="17"/>
              </w:rPr>
            </w:pPr>
            <w:r>
              <w:rPr>
                <w:rFonts w:ascii="Arial" w:hAnsi="Arial" w:cs="Arial"/>
                <w:b/>
                <w:bCs/>
                <w:color w:val="000000"/>
                <w:sz w:val="17"/>
                <w:szCs w:val="17"/>
              </w:rPr>
              <w:t>601</w:t>
            </w:r>
          </w:p>
        </w:tc>
        <w:tc>
          <w:tcPr>
            <w:tcW w:w="1729" w:type="dxa"/>
            <w:vMerge/>
          </w:tcPr>
          <w:p w:rsidR="00296C1F" w:rsidRPr="00AF3255" w:rsidRDefault="00296C1F" w:rsidP="00C87192">
            <w:pPr>
              <w:rPr>
                <w:rFonts w:ascii="Arial" w:eastAsia="Times New Roman" w:hAnsi="Arial" w:cs="Arial"/>
                <w:sz w:val="20"/>
                <w:szCs w:val="20"/>
                <w:lang w:eastAsia="es-ES"/>
              </w:rPr>
            </w:pPr>
          </w:p>
        </w:tc>
        <w:tc>
          <w:tcPr>
            <w:tcW w:w="3569" w:type="dxa"/>
          </w:tcPr>
          <w:p w:rsidR="00296C1F" w:rsidRPr="00AF3255" w:rsidRDefault="008B0ACB" w:rsidP="008B0ACB">
            <w:pPr>
              <w:jc w:val="both"/>
              <w:rPr>
                <w:rFonts w:ascii="Arial" w:hAnsi="Arial" w:cs="Arial"/>
                <w:color w:val="333333"/>
                <w:sz w:val="17"/>
                <w:szCs w:val="17"/>
              </w:rPr>
            </w:pPr>
            <w:r w:rsidRPr="008B0ACB">
              <w:rPr>
                <w:rFonts w:ascii="Arial" w:hAnsi="Arial" w:cs="Arial"/>
                <w:color w:val="333333"/>
                <w:sz w:val="17"/>
                <w:szCs w:val="17"/>
              </w:rPr>
              <w:t>Se evidenció que la respuesta a las solicitudes de bonos pensionales, presentan incumplimiento del término señalado en la Ley 1437 de 2011 artículo 14 “… toda petición deberá resolverse dentro de los quince (15) días siguientes a su recepción”.</w:t>
            </w:r>
          </w:p>
        </w:tc>
        <w:tc>
          <w:tcPr>
            <w:tcW w:w="1928" w:type="dxa"/>
          </w:tcPr>
          <w:p w:rsidR="00296C1F" w:rsidRPr="00AF3255" w:rsidRDefault="008B0ACB" w:rsidP="00C87192">
            <w:pPr>
              <w:rPr>
                <w:rFonts w:ascii="Arial" w:hAnsi="Arial" w:cs="Arial"/>
                <w:color w:val="333333"/>
                <w:sz w:val="17"/>
                <w:szCs w:val="17"/>
              </w:rPr>
            </w:pPr>
            <w:r w:rsidRPr="008B0ACB">
              <w:rPr>
                <w:rFonts w:ascii="Arial" w:hAnsi="Arial" w:cs="Arial"/>
                <w:color w:val="333333"/>
                <w:sz w:val="17"/>
                <w:szCs w:val="17"/>
              </w:rPr>
              <w:t>MECI 1000:2005</w:t>
            </w:r>
            <w:r w:rsidRPr="008B0ACB">
              <w:rPr>
                <w:rFonts w:ascii="Arial" w:hAnsi="Arial" w:cs="Arial"/>
                <w:color w:val="333333"/>
                <w:sz w:val="17"/>
                <w:szCs w:val="17"/>
              </w:rPr>
              <w:br/>
              <w:t>- 2.1.5 Manual de procedimientos 2. Subsistema de Control de Gestión 2.1 Componente actividades de control.</w:t>
            </w:r>
          </w:p>
        </w:tc>
        <w:tc>
          <w:tcPr>
            <w:tcW w:w="1990" w:type="dxa"/>
            <w:vMerge/>
          </w:tcPr>
          <w:p w:rsidR="00296C1F" w:rsidRPr="00AF3255" w:rsidRDefault="00296C1F" w:rsidP="00C87192">
            <w:pPr>
              <w:rPr>
                <w:rFonts w:ascii="Arial" w:hAnsi="Arial" w:cs="Arial"/>
                <w:color w:val="333333"/>
                <w:sz w:val="17"/>
                <w:szCs w:val="17"/>
              </w:rPr>
            </w:pPr>
          </w:p>
        </w:tc>
      </w:tr>
      <w:tr w:rsidR="00296C1F" w:rsidRPr="00AF3255" w:rsidTr="001D58CE">
        <w:trPr>
          <w:trHeight w:val="23"/>
        </w:trPr>
        <w:tc>
          <w:tcPr>
            <w:tcW w:w="688" w:type="dxa"/>
          </w:tcPr>
          <w:p w:rsidR="00296C1F" w:rsidRPr="00AF3255" w:rsidRDefault="008B0ACB" w:rsidP="00C87192">
            <w:pPr>
              <w:rPr>
                <w:rFonts w:ascii="Arial" w:hAnsi="Arial" w:cs="Arial"/>
                <w:b/>
                <w:bCs/>
                <w:color w:val="000000"/>
                <w:sz w:val="17"/>
                <w:szCs w:val="17"/>
              </w:rPr>
            </w:pPr>
            <w:r>
              <w:rPr>
                <w:rFonts w:ascii="Arial" w:hAnsi="Arial" w:cs="Arial"/>
                <w:b/>
                <w:bCs/>
                <w:color w:val="000000"/>
                <w:sz w:val="17"/>
                <w:szCs w:val="17"/>
              </w:rPr>
              <w:t>602</w:t>
            </w:r>
          </w:p>
        </w:tc>
        <w:tc>
          <w:tcPr>
            <w:tcW w:w="1729" w:type="dxa"/>
            <w:vMerge/>
          </w:tcPr>
          <w:p w:rsidR="00296C1F" w:rsidRPr="00AF3255" w:rsidRDefault="00296C1F" w:rsidP="00C87192">
            <w:pPr>
              <w:rPr>
                <w:rFonts w:ascii="Arial" w:eastAsia="Times New Roman" w:hAnsi="Arial" w:cs="Arial"/>
                <w:sz w:val="20"/>
                <w:szCs w:val="20"/>
                <w:lang w:eastAsia="es-ES"/>
              </w:rPr>
            </w:pPr>
          </w:p>
        </w:tc>
        <w:tc>
          <w:tcPr>
            <w:tcW w:w="3569" w:type="dxa"/>
          </w:tcPr>
          <w:p w:rsidR="00296C1F" w:rsidRPr="00AF3255" w:rsidRDefault="008B0ACB" w:rsidP="00C87192">
            <w:pPr>
              <w:rPr>
                <w:rFonts w:ascii="Arial" w:hAnsi="Arial" w:cs="Arial"/>
                <w:color w:val="333333"/>
                <w:sz w:val="17"/>
                <w:szCs w:val="17"/>
              </w:rPr>
            </w:pPr>
            <w:r w:rsidRPr="008B0ACB">
              <w:rPr>
                <w:rFonts w:ascii="Arial" w:hAnsi="Arial" w:cs="Arial"/>
                <w:color w:val="333333"/>
                <w:sz w:val="17"/>
                <w:szCs w:val="17"/>
              </w:rPr>
              <w:t>Se evidenció que no se cumplió el 100% de lo programado en el Plan de Capacitación Institucional.</w:t>
            </w:r>
          </w:p>
        </w:tc>
        <w:tc>
          <w:tcPr>
            <w:tcW w:w="1928" w:type="dxa"/>
          </w:tcPr>
          <w:p w:rsidR="00296C1F" w:rsidRPr="00AF3255" w:rsidRDefault="008B0ACB" w:rsidP="00C87192">
            <w:pPr>
              <w:rPr>
                <w:rFonts w:ascii="Arial" w:hAnsi="Arial" w:cs="Arial"/>
                <w:color w:val="333333"/>
                <w:sz w:val="17"/>
                <w:szCs w:val="17"/>
              </w:rPr>
            </w:pPr>
            <w:r>
              <w:rPr>
                <w:rFonts w:ascii="Arial" w:hAnsi="Arial" w:cs="Arial"/>
                <w:color w:val="333333"/>
                <w:sz w:val="17"/>
                <w:szCs w:val="17"/>
              </w:rPr>
              <w:t>MECI 1000:2005</w:t>
            </w:r>
            <w:r>
              <w:rPr>
                <w:rFonts w:ascii="Arial" w:hAnsi="Arial" w:cs="Arial"/>
                <w:color w:val="333333"/>
                <w:sz w:val="17"/>
                <w:szCs w:val="17"/>
              </w:rPr>
              <w:br/>
              <w:t>- 3.1.2 Autoevaluación a la gestión 3. Subsistema de Evaluación 3.1 Componente autoevaluación</w:t>
            </w:r>
          </w:p>
        </w:tc>
        <w:tc>
          <w:tcPr>
            <w:tcW w:w="1990" w:type="dxa"/>
            <w:vMerge/>
          </w:tcPr>
          <w:p w:rsidR="00296C1F" w:rsidRPr="00AF3255" w:rsidRDefault="00296C1F" w:rsidP="00C87192">
            <w:pPr>
              <w:rPr>
                <w:rFonts w:ascii="Arial" w:hAnsi="Arial" w:cs="Arial"/>
                <w:color w:val="333333"/>
                <w:sz w:val="17"/>
                <w:szCs w:val="17"/>
              </w:rPr>
            </w:pPr>
          </w:p>
        </w:tc>
      </w:tr>
      <w:tr w:rsidR="00296C1F" w:rsidRPr="00AF3255" w:rsidTr="001D58CE">
        <w:trPr>
          <w:trHeight w:val="1540"/>
        </w:trPr>
        <w:tc>
          <w:tcPr>
            <w:tcW w:w="688" w:type="dxa"/>
          </w:tcPr>
          <w:p w:rsidR="00296C1F" w:rsidRPr="00AF3255" w:rsidRDefault="008B0ACB" w:rsidP="00C87192">
            <w:pPr>
              <w:rPr>
                <w:rFonts w:ascii="Arial" w:hAnsi="Arial" w:cs="Arial"/>
                <w:b/>
                <w:bCs/>
                <w:color w:val="000000"/>
                <w:sz w:val="17"/>
                <w:szCs w:val="17"/>
              </w:rPr>
            </w:pPr>
            <w:r>
              <w:rPr>
                <w:rFonts w:ascii="Arial" w:hAnsi="Arial" w:cs="Arial"/>
                <w:b/>
                <w:bCs/>
                <w:color w:val="000000"/>
                <w:sz w:val="17"/>
                <w:szCs w:val="17"/>
              </w:rPr>
              <w:t>603</w:t>
            </w:r>
          </w:p>
        </w:tc>
        <w:tc>
          <w:tcPr>
            <w:tcW w:w="1729" w:type="dxa"/>
          </w:tcPr>
          <w:p w:rsidR="00296C1F" w:rsidRPr="00AF3255" w:rsidRDefault="008B0ACB" w:rsidP="00C87192">
            <w:pPr>
              <w:rPr>
                <w:rFonts w:ascii="Arial" w:eastAsia="Times New Roman" w:hAnsi="Arial" w:cs="Arial"/>
                <w:sz w:val="20"/>
                <w:szCs w:val="20"/>
                <w:lang w:eastAsia="es-ES"/>
              </w:rPr>
            </w:pPr>
            <w:r w:rsidRPr="008B0ACB">
              <w:rPr>
                <w:rFonts w:ascii="Arial" w:eastAsia="Times New Roman" w:hAnsi="Arial" w:cs="Arial"/>
                <w:sz w:val="20"/>
                <w:szCs w:val="20"/>
                <w:lang w:eastAsia="es-ES"/>
              </w:rPr>
              <w:t>Control Legal de Cajas de Compensación Familiar</w:t>
            </w:r>
          </w:p>
        </w:tc>
        <w:tc>
          <w:tcPr>
            <w:tcW w:w="3569" w:type="dxa"/>
          </w:tcPr>
          <w:p w:rsidR="00296C1F" w:rsidRPr="00AF3255" w:rsidRDefault="008B0ACB" w:rsidP="00D663DF">
            <w:pPr>
              <w:jc w:val="both"/>
              <w:rPr>
                <w:rFonts w:ascii="Arial" w:hAnsi="Arial" w:cs="Arial"/>
                <w:color w:val="333333"/>
                <w:sz w:val="17"/>
                <w:szCs w:val="17"/>
              </w:rPr>
            </w:pPr>
            <w:r w:rsidRPr="008B0ACB">
              <w:rPr>
                <w:rFonts w:ascii="Arial" w:hAnsi="Arial" w:cs="Arial"/>
                <w:color w:val="333333"/>
                <w:sz w:val="17"/>
                <w:szCs w:val="17"/>
              </w:rPr>
              <w:t xml:space="preserve">Se evidenció en el procedimiento de investigaciones administrativas, que en </w:t>
            </w:r>
            <w:r w:rsidR="00DD050E">
              <w:rPr>
                <w:rFonts w:ascii="Arial" w:hAnsi="Arial" w:cs="Arial"/>
                <w:color w:val="333333"/>
                <w:sz w:val="17"/>
                <w:szCs w:val="17"/>
              </w:rPr>
              <w:t xml:space="preserve">los </w:t>
            </w:r>
            <w:r w:rsidRPr="008B0ACB">
              <w:rPr>
                <w:rFonts w:ascii="Arial" w:hAnsi="Arial" w:cs="Arial"/>
                <w:color w:val="333333"/>
                <w:sz w:val="17"/>
                <w:szCs w:val="17"/>
              </w:rPr>
              <w:t>expedientes</w:t>
            </w:r>
            <w:r w:rsidR="00AE496F">
              <w:rPr>
                <w:rFonts w:ascii="Arial" w:hAnsi="Arial" w:cs="Arial"/>
                <w:color w:val="333333"/>
                <w:sz w:val="17"/>
                <w:szCs w:val="17"/>
              </w:rPr>
              <w:t xml:space="preserve"> que se relacionaron</w:t>
            </w:r>
            <w:r w:rsidR="00DD050E">
              <w:rPr>
                <w:rFonts w:ascii="Arial" w:hAnsi="Arial" w:cs="Arial"/>
                <w:color w:val="333333"/>
                <w:sz w:val="17"/>
                <w:szCs w:val="17"/>
              </w:rPr>
              <w:t xml:space="preserve"> en el informe en el acápite 4 de análisis y observaciones </w:t>
            </w:r>
            <w:r w:rsidR="00D663DF">
              <w:rPr>
                <w:rFonts w:ascii="Arial" w:hAnsi="Arial" w:cs="Arial"/>
                <w:color w:val="333333"/>
                <w:sz w:val="17"/>
                <w:szCs w:val="17"/>
              </w:rPr>
              <w:t>numerales I y III</w:t>
            </w:r>
            <w:r w:rsidR="00AE496F">
              <w:rPr>
                <w:rFonts w:ascii="Arial" w:hAnsi="Arial" w:cs="Arial"/>
                <w:color w:val="333333"/>
                <w:sz w:val="17"/>
                <w:szCs w:val="17"/>
              </w:rPr>
              <w:t>,</w:t>
            </w:r>
            <w:r w:rsidRPr="008B0ACB">
              <w:rPr>
                <w:rFonts w:ascii="Arial" w:hAnsi="Arial" w:cs="Arial"/>
                <w:color w:val="333333"/>
                <w:sz w:val="17"/>
                <w:szCs w:val="17"/>
              </w:rPr>
              <w:t xml:space="preserve"> no se cumplieron los términos establecidos a cabalidad en relación con el envío de citación para notificación y los que se tienen para proferir acto administrativo que resuelve investigación.</w:t>
            </w:r>
          </w:p>
        </w:tc>
        <w:tc>
          <w:tcPr>
            <w:tcW w:w="1928" w:type="dxa"/>
          </w:tcPr>
          <w:p w:rsidR="00296C1F" w:rsidRPr="00AF3255" w:rsidRDefault="008B0ACB" w:rsidP="00C87192">
            <w:pPr>
              <w:rPr>
                <w:rFonts w:ascii="Arial" w:hAnsi="Arial" w:cs="Arial"/>
                <w:color w:val="333333"/>
                <w:sz w:val="17"/>
                <w:szCs w:val="17"/>
              </w:rPr>
            </w:pPr>
            <w:r>
              <w:rPr>
                <w:rFonts w:ascii="Arial" w:hAnsi="Arial" w:cs="Arial"/>
                <w:color w:val="333333"/>
                <w:sz w:val="17"/>
                <w:szCs w:val="17"/>
              </w:rPr>
              <w:t>NTC GP 1000:2009</w:t>
            </w:r>
            <w:r>
              <w:rPr>
                <w:rFonts w:ascii="Arial" w:hAnsi="Arial" w:cs="Arial"/>
                <w:color w:val="333333"/>
                <w:sz w:val="17"/>
                <w:szCs w:val="17"/>
              </w:rPr>
              <w:br/>
              <w:t>- 7.5.3 Identificación y trazabilidad 7. REALIZACION DEL PRODUCTO O PRESTACION DEL SERVICIO</w:t>
            </w:r>
          </w:p>
        </w:tc>
        <w:tc>
          <w:tcPr>
            <w:tcW w:w="1990" w:type="dxa"/>
          </w:tcPr>
          <w:p w:rsidR="00296C1F" w:rsidRPr="00AF3255" w:rsidRDefault="008B0ACB" w:rsidP="00C87192">
            <w:pPr>
              <w:rPr>
                <w:rFonts w:ascii="Arial" w:hAnsi="Arial" w:cs="Arial"/>
                <w:color w:val="333333"/>
                <w:sz w:val="17"/>
                <w:szCs w:val="17"/>
              </w:rPr>
            </w:pPr>
            <w:r>
              <w:rPr>
                <w:rFonts w:ascii="Arial" w:hAnsi="Arial" w:cs="Arial"/>
                <w:color w:val="333333"/>
                <w:sz w:val="17"/>
                <w:szCs w:val="17"/>
              </w:rPr>
              <w:t xml:space="preserve">Superintendente </w:t>
            </w:r>
            <w:r w:rsidRPr="000D71DC">
              <w:rPr>
                <w:rFonts w:ascii="Arial" w:hAnsi="Arial" w:cs="Arial"/>
                <w:color w:val="333333"/>
                <w:sz w:val="17"/>
                <w:szCs w:val="17"/>
              </w:rPr>
              <w:t>Delegada para la Responsabilidad Administrativa y las Medidas Especiales</w:t>
            </w:r>
          </w:p>
        </w:tc>
      </w:tr>
      <w:tr w:rsidR="008B0ACB" w:rsidRPr="00AF3255" w:rsidTr="001D58CE">
        <w:trPr>
          <w:trHeight w:val="1540"/>
        </w:trPr>
        <w:tc>
          <w:tcPr>
            <w:tcW w:w="688" w:type="dxa"/>
          </w:tcPr>
          <w:p w:rsidR="008B0ACB" w:rsidRPr="00AF3255" w:rsidRDefault="00FC7677" w:rsidP="00C87192">
            <w:pPr>
              <w:rPr>
                <w:rFonts w:ascii="Arial" w:hAnsi="Arial" w:cs="Arial"/>
                <w:b/>
                <w:bCs/>
                <w:color w:val="000000"/>
                <w:sz w:val="17"/>
                <w:szCs w:val="17"/>
              </w:rPr>
            </w:pPr>
            <w:r>
              <w:rPr>
                <w:rFonts w:ascii="Arial" w:hAnsi="Arial" w:cs="Arial"/>
                <w:b/>
                <w:bCs/>
                <w:color w:val="000000"/>
                <w:sz w:val="17"/>
                <w:szCs w:val="17"/>
              </w:rPr>
              <w:t>607</w:t>
            </w:r>
          </w:p>
        </w:tc>
        <w:tc>
          <w:tcPr>
            <w:tcW w:w="1729" w:type="dxa"/>
          </w:tcPr>
          <w:p w:rsidR="008B0ACB" w:rsidRPr="008B0ACB" w:rsidRDefault="001D489F" w:rsidP="00C87192">
            <w:pPr>
              <w:rPr>
                <w:rFonts w:ascii="Arial" w:eastAsia="Times New Roman" w:hAnsi="Arial" w:cs="Arial"/>
                <w:sz w:val="20"/>
                <w:szCs w:val="20"/>
                <w:lang w:eastAsia="es-ES"/>
              </w:rPr>
            </w:pPr>
            <w:r w:rsidRPr="001D489F">
              <w:rPr>
                <w:rFonts w:ascii="Arial" w:eastAsia="Times New Roman" w:hAnsi="Arial" w:cs="Arial"/>
                <w:sz w:val="20"/>
                <w:szCs w:val="20"/>
                <w:lang w:eastAsia="es-ES"/>
              </w:rPr>
              <w:t>Almacén e Inventarios</w:t>
            </w:r>
          </w:p>
        </w:tc>
        <w:tc>
          <w:tcPr>
            <w:tcW w:w="3569" w:type="dxa"/>
          </w:tcPr>
          <w:p w:rsidR="008B0ACB" w:rsidRPr="008B0ACB" w:rsidRDefault="00FC7677" w:rsidP="008B0ACB">
            <w:pPr>
              <w:jc w:val="both"/>
              <w:rPr>
                <w:rFonts w:ascii="Arial" w:hAnsi="Arial" w:cs="Arial"/>
                <w:color w:val="333333"/>
                <w:sz w:val="17"/>
                <w:szCs w:val="17"/>
              </w:rPr>
            </w:pPr>
            <w:r w:rsidRPr="00FC7677">
              <w:rPr>
                <w:rFonts w:ascii="Arial" w:hAnsi="Arial" w:cs="Arial"/>
                <w:color w:val="333333"/>
                <w:sz w:val="17"/>
                <w:szCs w:val="17"/>
              </w:rPr>
              <w:t>Se evidenció en el egreso de elementos No. 1320 del 15 de diciembre de 2014, la cantidad de papel tamaño carta no cruza con la cantidad de la solicitud de elementos de papelería y útiles de oficina elaborado por el funcionario, generando una subestimación de la cuenta 191001 Materiales y Suministros por valor de $287.666 en el Boletín de almacén en dicho mes</w:t>
            </w:r>
            <w:r w:rsidR="00D663DF">
              <w:rPr>
                <w:rFonts w:ascii="Arial" w:hAnsi="Arial" w:cs="Arial"/>
                <w:color w:val="333333"/>
                <w:sz w:val="17"/>
                <w:szCs w:val="17"/>
              </w:rPr>
              <w:t>.</w:t>
            </w:r>
          </w:p>
        </w:tc>
        <w:tc>
          <w:tcPr>
            <w:tcW w:w="1928" w:type="dxa"/>
          </w:tcPr>
          <w:p w:rsidR="008B0ACB" w:rsidRPr="00AF3255" w:rsidRDefault="00FC7677" w:rsidP="00C87192">
            <w:pPr>
              <w:rPr>
                <w:rFonts w:ascii="Arial" w:hAnsi="Arial" w:cs="Arial"/>
                <w:color w:val="333333"/>
                <w:sz w:val="17"/>
                <w:szCs w:val="17"/>
              </w:rPr>
            </w:pPr>
            <w:r>
              <w:rPr>
                <w:rFonts w:ascii="Arial" w:hAnsi="Arial" w:cs="Arial"/>
                <w:color w:val="333333"/>
                <w:sz w:val="17"/>
                <w:szCs w:val="17"/>
              </w:rPr>
              <w:t>NTC GP 1000:2009</w:t>
            </w:r>
            <w:r>
              <w:rPr>
                <w:rFonts w:ascii="Arial" w:hAnsi="Arial" w:cs="Arial"/>
                <w:color w:val="333333"/>
                <w:sz w:val="17"/>
                <w:szCs w:val="17"/>
              </w:rPr>
              <w:br/>
              <w:t>- 4.2.3 Control de documentos 4.2 Gestión documental</w:t>
            </w:r>
          </w:p>
        </w:tc>
        <w:tc>
          <w:tcPr>
            <w:tcW w:w="1990" w:type="dxa"/>
          </w:tcPr>
          <w:p w:rsidR="008B0ACB" w:rsidRDefault="00CA2229" w:rsidP="00C87192">
            <w:pPr>
              <w:rPr>
                <w:rFonts w:ascii="Arial" w:hAnsi="Arial" w:cs="Arial"/>
                <w:color w:val="333333"/>
                <w:sz w:val="17"/>
                <w:szCs w:val="17"/>
              </w:rPr>
            </w:pPr>
            <w:r w:rsidRPr="00AF3255">
              <w:rPr>
                <w:rFonts w:ascii="Arial" w:hAnsi="Arial" w:cs="Arial"/>
                <w:color w:val="333333"/>
                <w:sz w:val="17"/>
                <w:szCs w:val="17"/>
              </w:rPr>
              <w:t xml:space="preserve">Coordinador Grupo de gestión </w:t>
            </w:r>
            <w:r>
              <w:rPr>
                <w:rFonts w:ascii="Arial" w:hAnsi="Arial" w:cs="Arial"/>
                <w:color w:val="333333"/>
                <w:sz w:val="17"/>
                <w:szCs w:val="17"/>
              </w:rPr>
              <w:t>Administrativa y documental</w:t>
            </w:r>
          </w:p>
        </w:tc>
      </w:tr>
      <w:tr w:rsidR="00FC7677" w:rsidRPr="00AF3255" w:rsidTr="001D58CE">
        <w:trPr>
          <w:trHeight w:val="1540"/>
        </w:trPr>
        <w:tc>
          <w:tcPr>
            <w:tcW w:w="688" w:type="dxa"/>
          </w:tcPr>
          <w:p w:rsidR="00FC7677" w:rsidRDefault="00FC7677" w:rsidP="00C87192">
            <w:pPr>
              <w:rPr>
                <w:rFonts w:ascii="Arial" w:hAnsi="Arial" w:cs="Arial"/>
                <w:b/>
                <w:bCs/>
                <w:color w:val="000000"/>
                <w:sz w:val="17"/>
                <w:szCs w:val="17"/>
              </w:rPr>
            </w:pPr>
            <w:r>
              <w:rPr>
                <w:rFonts w:ascii="Arial" w:hAnsi="Arial" w:cs="Arial"/>
                <w:b/>
                <w:bCs/>
                <w:color w:val="000000"/>
                <w:sz w:val="17"/>
                <w:szCs w:val="17"/>
              </w:rPr>
              <w:t>597</w:t>
            </w:r>
          </w:p>
        </w:tc>
        <w:tc>
          <w:tcPr>
            <w:tcW w:w="1729" w:type="dxa"/>
            <w:vMerge w:val="restart"/>
          </w:tcPr>
          <w:p w:rsidR="00FC7677" w:rsidRPr="001D489F" w:rsidRDefault="00FC7677" w:rsidP="00C87192">
            <w:pPr>
              <w:rPr>
                <w:rFonts w:ascii="Arial" w:eastAsia="Times New Roman" w:hAnsi="Arial" w:cs="Arial"/>
                <w:sz w:val="20"/>
                <w:szCs w:val="20"/>
                <w:lang w:eastAsia="es-ES"/>
              </w:rPr>
            </w:pPr>
            <w:r>
              <w:rPr>
                <w:rFonts w:ascii="Arial" w:eastAsia="Times New Roman" w:hAnsi="Arial" w:cs="Arial"/>
                <w:sz w:val="20"/>
                <w:szCs w:val="20"/>
                <w:lang w:eastAsia="es-ES"/>
              </w:rPr>
              <w:t>Gestión Documental</w:t>
            </w:r>
          </w:p>
        </w:tc>
        <w:tc>
          <w:tcPr>
            <w:tcW w:w="3569" w:type="dxa"/>
          </w:tcPr>
          <w:p w:rsidR="00FC7677" w:rsidRPr="00FC7677" w:rsidRDefault="00FC7677" w:rsidP="008B0ACB">
            <w:pPr>
              <w:jc w:val="both"/>
              <w:rPr>
                <w:rFonts w:ascii="Arial" w:hAnsi="Arial" w:cs="Arial"/>
                <w:color w:val="333333"/>
                <w:sz w:val="17"/>
                <w:szCs w:val="17"/>
              </w:rPr>
            </w:pPr>
            <w:r>
              <w:rPr>
                <w:rFonts w:ascii="Arial" w:hAnsi="Arial" w:cs="Arial"/>
                <w:color w:val="333333"/>
                <w:sz w:val="17"/>
                <w:szCs w:val="17"/>
              </w:rPr>
              <w:t>Se evidenció que el Grupo de Gestión documental, cuenta con manuales desactualizados de archivo y correspondencia, incumpliendo con el numeral 21 artículo 5 de la Resolución 0129 del 07 de Febrero de 2014 de la SSF, Funciones del Grupo de Gestión Administrativa y Documental.</w:t>
            </w:r>
          </w:p>
        </w:tc>
        <w:tc>
          <w:tcPr>
            <w:tcW w:w="1928" w:type="dxa"/>
          </w:tcPr>
          <w:p w:rsidR="00FC7677" w:rsidRDefault="00FC7677" w:rsidP="00C87192">
            <w:pPr>
              <w:rPr>
                <w:rFonts w:ascii="Arial" w:hAnsi="Arial" w:cs="Arial"/>
                <w:color w:val="333333"/>
                <w:sz w:val="17"/>
                <w:szCs w:val="17"/>
              </w:rPr>
            </w:pPr>
            <w:r>
              <w:rPr>
                <w:rFonts w:ascii="Arial" w:hAnsi="Arial" w:cs="Arial"/>
                <w:color w:val="333333"/>
                <w:sz w:val="17"/>
                <w:szCs w:val="17"/>
              </w:rPr>
              <w:t>MECI 1000:2005</w:t>
            </w:r>
            <w:r>
              <w:rPr>
                <w:rFonts w:ascii="Arial" w:hAnsi="Arial" w:cs="Arial"/>
                <w:color w:val="333333"/>
                <w:sz w:val="17"/>
                <w:szCs w:val="17"/>
              </w:rPr>
              <w:br/>
              <w:t>- 2.1.2 Procedimientos 2. Subsistema de Control de Gestión 2.1 Componente actividades de control.</w:t>
            </w:r>
          </w:p>
        </w:tc>
        <w:tc>
          <w:tcPr>
            <w:tcW w:w="1990" w:type="dxa"/>
            <w:vMerge w:val="restart"/>
          </w:tcPr>
          <w:p w:rsidR="00FC7677" w:rsidRDefault="00CA2229" w:rsidP="00C87192">
            <w:pPr>
              <w:rPr>
                <w:rFonts w:ascii="Arial" w:hAnsi="Arial" w:cs="Arial"/>
                <w:color w:val="333333"/>
                <w:sz w:val="17"/>
                <w:szCs w:val="17"/>
              </w:rPr>
            </w:pPr>
            <w:r w:rsidRPr="00AF3255">
              <w:rPr>
                <w:rFonts w:ascii="Arial" w:hAnsi="Arial" w:cs="Arial"/>
                <w:color w:val="333333"/>
                <w:sz w:val="17"/>
                <w:szCs w:val="17"/>
              </w:rPr>
              <w:t xml:space="preserve">Coordinador Grupo de gestión </w:t>
            </w:r>
            <w:r>
              <w:rPr>
                <w:rFonts w:ascii="Arial" w:hAnsi="Arial" w:cs="Arial"/>
                <w:color w:val="333333"/>
                <w:sz w:val="17"/>
                <w:szCs w:val="17"/>
              </w:rPr>
              <w:t>Administrativa y documental</w:t>
            </w:r>
          </w:p>
        </w:tc>
      </w:tr>
      <w:tr w:rsidR="00FC7677" w:rsidRPr="00AF3255" w:rsidTr="001D58CE">
        <w:trPr>
          <w:trHeight w:val="1540"/>
        </w:trPr>
        <w:tc>
          <w:tcPr>
            <w:tcW w:w="688" w:type="dxa"/>
          </w:tcPr>
          <w:p w:rsidR="00FC7677" w:rsidRDefault="00FC7677" w:rsidP="00C87192">
            <w:pPr>
              <w:rPr>
                <w:rFonts w:ascii="Arial" w:hAnsi="Arial" w:cs="Arial"/>
                <w:b/>
                <w:bCs/>
                <w:color w:val="000000"/>
                <w:sz w:val="17"/>
                <w:szCs w:val="17"/>
              </w:rPr>
            </w:pPr>
          </w:p>
        </w:tc>
        <w:tc>
          <w:tcPr>
            <w:tcW w:w="1729" w:type="dxa"/>
            <w:vMerge/>
          </w:tcPr>
          <w:p w:rsidR="00FC7677" w:rsidRDefault="00FC7677" w:rsidP="00C87192">
            <w:pPr>
              <w:rPr>
                <w:rFonts w:ascii="Arial" w:eastAsia="Times New Roman" w:hAnsi="Arial" w:cs="Arial"/>
                <w:sz w:val="20"/>
                <w:szCs w:val="20"/>
                <w:lang w:eastAsia="es-ES"/>
              </w:rPr>
            </w:pPr>
          </w:p>
        </w:tc>
        <w:tc>
          <w:tcPr>
            <w:tcW w:w="3569" w:type="dxa"/>
          </w:tcPr>
          <w:p w:rsidR="00FC7677" w:rsidRDefault="00FC7677" w:rsidP="008B0ACB">
            <w:pPr>
              <w:jc w:val="both"/>
              <w:rPr>
                <w:rFonts w:ascii="Arial" w:hAnsi="Arial" w:cs="Arial"/>
                <w:color w:val="333333"/>
                <w:sz w:val="17"/>
                <w:szCs w:val="17"/>
              </w:rPr>
            </w:pPr>
            <w:r>
              <w:rPr>
                <w:rFonts w:ascii="Arial" w:hAnsi="Arial" w:cs="Arial"/>
                <w:color w:val="333333"/>
                <w:sz w:val="17"/>
                <w:szCs w:val="17"/>
              </w:rPr>
              <w:t>Se evidenció que no se ha dado cumplimiento a cabalidad con el plan de mejoramiento suscrito con el Archivo General de la Nación, respecto de las actividades mencionadas en el numeral 4.6 del acápite de análisis y observaciones del presente informe.</w:t>
            </w:r>
          </w:p>
        </w:tc>
        <w:tc>
          <w:tcPr>
            <w:tcW w:w="1928" w:type="dxa"/>
          </w:tcPr>
          <w:p w:rsidR="00FC7677" w:rsidRDefault="00FC7677" w:rsidP="00C87192">
            <w:pPr>
              <w:rPr>
                <w:rFonts w:ascii="Arial" w:hAnsi="Arial" w:cs="Arial"/>
                <w:color w:val="333333"/>
                <w:sz w:val="17"/>
                <w:szCs w:val="17"/>
              </w:rPr>
            </w:pPr>
            <w:r>
              <w:rPr>
                <w:rFonts w:ascii="Arial" w:hAnsi="Arial" w:cs="Arial"/>
                <w:color w:val="333333"/>
                <w:sz w:val="17"/>
                <w:szCs w:val="17"/>
              </w:rPr>
              <w:t>MECI 1000:2005</w:t>
            </w:r>
            <w:r>
              <w:rPr>
                <w:rFonts w:ascii="Arial" w:hAnsi="Arial" w:cs="Arial"/>
                <w:color w:val="333333"/>
                <w:sz w:val="17"/>
                <w:szCs w:val="17"/>
              </w:rPr>
              <w:br/>
              <w:t>- 3.3.2 Planes de Mejoramiento por Procesos 3. Subsistema de Evaluación 3.3 Componente planes de mejoramiento.</w:t>
            </w:r>
          </w:p>
        </w:tc>
        <w:tc>
          <w:tcPr>
            <w:tcW w:w="1990" w:type="dxa"/>
            <w:vMerge/>
          </w:tcPr>
          <w:p w:rsidR="00FC7677" w:rsidRDefault="00FC7677" w:rsidP="00C87192">
            <w:pPr>
              <w:rPr>
                <w:rFonts w:ascii="Arial" w:hAnsi="Arial" w:cs="Arial"/>
                <w:color w:val="333333"/>
                <w:sz w:val="17"/>
                <w:szCs w:val="17"/>
              </w:rPr>
            </w:pPr>
          </w:p>
        </w:tc>
      </w:tr>
    </w:tbl>
    <w:p w:rsidR="00296C1F" w:rsidRPr="00AF3255" w:rsidRDefault="00296C1F" w:rsidP="00296C1F">
      <w:pPr>
        <w:rPr>
          <w:rFonts w:ascii="Arial" w:eastAsia="Times New Roman" w:hAnsi="Arial" w:cs="Arial"/>
          <w:b/>
          <w:sz w:val="24"/>
          <w:szCs w:val="24"/>
          <w:u w:val="single"/>
          <w:lang w:val="es-CO" w:eastAsia="es-ES"/>
        </w:rPr>
      </w:pPr>
    </w:p>
    <w:p w:rsidR="00296C1F" w:rsidRPr="00AF3255" w:rsidRDefault="00296C1F" w:rsidP="00296C1F">
      <w:pPr>
        <w:rPr>
          <w:rFonts w:ascii="Arial" w:eastAsia="Times New Roman" w:hAnsi="Arial" w:cs="Arial"/>
          <w:b/>
          <w:sz w:val="24"/>
          <w:szCs w:val="24"/>
          <w:u w:val="single"/>
          <w:lang w:val="es-CO" w:eastAsia="es-ES"/>
        </w:rPr>
      </w:pPr>
    </w:p>
    <w:p w:rsidR="00296C1F" w:rsidRPr="00AF3255" w:rsidRDefault="00296C1F" w:rsidP="00296C1F">
      <w:pPr>
        <w:rPr>
          <w:rFonts w:ascii="Arial" w:eastAsia="Times New Roman" w:hAnsi="Arial" w:cs="Arial"/>
          <w:b/>
          <w:sz w:val="24"/>
          <w:szCs w:val="24"/>
          <w:u w:val="single"/>
          <w:lang w:val="es-CO" w:eastAsia="es-ES"/>
        </w:rPr>
      </w:pPr>
    </w:p>
    <w:p w:rsidR="00296C1F" w:rsidRPr="00AF3255" w:rsidRDefault="00296C1F" w:rsidP="00296C1F">
      <w:pPr>
        <w:autoSpaceDE w:val="0"/>
        <w:autoSpaceDN w:val="0"/>
        <w:adjustRightInd w:val="0"/>
        <w:spacing w:after="0" w:line="240" w:lineRule="auto"/>
        <w:rPr>
          <w:rFonts w:ascii="Arial" w:eastAsia="Times New Roman" w:hAnsi="Arial" w:cs="Arial"/>
          <w:b/>
          <w:sz w:val="24"/>
          <w:szCs w:val="24"/>
          <w:lang w:val="es-CO" w:eastAsia="es-ES"/>
        </w:rPr>
      </w:pPr>
    </w:p>
    <w:p w:rsidR="00296C1F" w:rsidRPr="00AF3255" w:rsidRDefault="00296C1F" w:rsidP="00296C1F">
      <w:pPr>
        <w:autoSpaceDE w:val="0"/>
        <w:autoSpaceDN w:val="0"/>
        <w:adjustRightInd w:val="0"/>
        <w:spacing w:after="0" w:line="240" w:lineRule="auto"/>
        <w:rPr>
          <w:rFonts w:ascii="Arial" w:eastAsia="Times New Roman" w:hAnsi="Arial" w:cs="Arial"/>
          <w:b/>
          <w:sz w:val="24"/>
          <w:szCs w:val="24"/>
          <w:lang w:val="es-CO" w:eastAsia="es-ES"/>
        </w:rPr>
      </w:pPr>
    </w:p>
    <w:p w:rsidR="00296C1F" w:rsidRPr="00AF3255" w:rsidRDefault="00296C1F" w:rsidP="00296C1F">
      <w:pPr>
        <w:autoSpaceDE w:val="0"/>
        <w:autoSpaceDN w:val="0"/>
        <w:adjustRightInd w:val="0"/>
        <w:spacing w:after="0" w:line="240" w:lineRule="auto"/>
        <w:rPr>
          <w:rFonts w:ascii="Arial" w:eastAsia="Times New Roman" w:hAnsi="Arial" w:cs="Arial"/>
          <w:b/>
          <w:sz w:val="24"/>
          <w:szCs w:val="24"/>
          <w:lang w:val="es-CO" w:eastAsia="es-ES"/>
        </w:rPr>
      </w:pPr>
    </w:p>
    <w:p w:rsidR="00296C1F" w:rsidRPr="00AF3255" w:rsidRDefault="00296C1F" w:rsidP="00296C1F">
      <w:pPr>
        <w:autoSpaceDE w:val="0"/>
        <w:autoSpaceDN w:val="0"/>
        <w:adjustRightInd w:val="0"/>
        <w:spacing w:after="0" w:line="240" w:lineRule="auto"/>
        <w:rPr>
          <w:rFonts w:ascii="Arial" w:eastAsia="Times New Roman" w:hAnsi="Arial" w:cs="Arial"/>
          <w:b/>
          <w:sz w:val="24"/>
          <w:szCs w:val="24"/>
          <w:lang w:val="es-CO" w:eastAsia="es-ES"/>
        </w:rPr>
      </w:pPr>
    </w:p>
    <w:p w:rsidR="00296C1F" w:rsidRPr="00AF3255" w:rsidRDefault="00296C1F" w:rsidP="00296C1F">
      <w:pPr>
        <w:autoSpaceDE w:val="0"/>
        <w:autoSpaceDN w:val="0"/>
        <w:adjustRightInd w:val="0"/>
        <w:spacing w:after="0" w:line="240" w:lineRule="auto"/>
        <w:rPr>
          <w:rFonts w:ascii="Arial" w:eastAsia="Times New Roman" w:hAnsi="Arial" w:cs="Arial"/>
          <w:b/>
          <w:sz w:val="24"/>
          <w:szCs w:val="24"/>
          <w:lang w:val="es-CO" w:eastAsia="es-ES"/>
        </w:rPr>
      </w:pPr>
    </w:p>
    <w:p w:rsidR="00296C1F" w:rsidRPr="00AF3255" w:rsidRDefault="00296C1F" w:rsidP="00296C1F">
      <w:pPr>
        <w:rPr>
          <w:lang w:val="es-CO"/>
        </w:rPr>
      </w:pPr>
    </w:p>
    <w:p w:rsidR="00A65B07" w:rsidRPr="00296C1F" w:rsidRDefault="00A65B07" w:rsidP="00DD3163">
      <w:pPr>
        <w:rPr>
          <w:lang w:val="es-CO"/>
        </w:rPr>
      </w:pPr>
    </w:p>
    <w:sectPr w:rsidR="00A65B07" w:rsidRPr="00296C1F" w:rsidSect="00060E78">
      <w:headerReference w:type="default" r:id="rId11"/>
      <w:footerReference w:type="default" r:id="rId12"/>
      <w:pgSz w:w="12240" w:h="18720" w:code="14"/>
      <w:pgMar w:top="284" w:right="1134" w:bottom="284" w:left="1418" w:header="28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EF1" w:rsidRDefault="00934EF1" w:rsidP="006B0C0A">
      <w:pPr>
        <w:spacing w:after="0" w:line="240" w:lineRule="auto"/>
      </w:pPr>
      <w:r>
        <w:separator/>
      </w:r>
    </w:p>
  </w:endnote>
  <w:endnote w:type="continuationSeparator" w:id="0">
    <w:p w:rsidR="00934EF1" w:rsidRDefault="00934EF1"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192" w:rsidRPr="004933ED" w:rsidRDefault="00C87192" w:rsidP="005B44CD">
    <w:pPr>
      <w:spacing w:after="0" w:line="240" w:lineRule="auto"/>
      <w:ind w:firstLine="708"/>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EF1" w:rsidRDefault="00934EF1" w:rsidP="006B0C0A">
      <w:pPr>
        <w:spacing w:after="0" w:line="240" w:lineRule="auto"/>
      </w:pPr>
      <w:r>
        <w:separator/>
      </w:r>
    </w:p>
  </w:footnote>
  <w:footnote w:type="continuationSeparator" w:id="0">
    <w:p w:rsidR="00934EF1" w:rsidRDefault="00934EF1" w:rsidP="006B0C0A">
      <w:pPr>
        <w:spacing w:after="0" w:line="240" w:lineRule="auto"/>
      </w:pPr>
      <w:r>
        <w:continuationSeparator/>
      </w:r>
    </w:p>
  </w:footnote>
  <w:footnote w:id="1">
    <w:p w:rsidR="00060E78" w:rsidRPr="001B0D0B" w:rsidRDefault="00060E78" w:rsidP="00B757AF">
      <w:pPr>
        <w:pStyle w:val="Piedepgina"/>
        <w:ind w:left="720"/>
        <w:jc w:val="both"/>
        <w:rPr>
          <w:sz w:val="20"/>
          <w:szCs w:val="20"/>
        </w:rPr>
      </w:pPr>
      <w:r w:rsidRPr="001B0D0B">
        <w:rPr>
          <w:rStyle w:val="Refdenotaalpie"/>
          <w:sz w:val="20"/>
          <w:szCs w:val="20"/>
        </w:rPr>
        <w:footnoteRef/>
      </w:r>
      <w:r w:rsidRPr="001B0D0B">
        <w:rPr>
          <w:sz w:val="20"/>
          <w:szCs w:val="20"/>
        </w:rPr>
        <w:t xml:space="preserve"> </w:t>
      </w:r>
      <w:r w:rsidR="001B0D0B" w:rsidRPr="001B0D0B">
        <w:rPr>
          <w:rFonts w:ascii="Arial" w:eastAsia="Times New Roman" w:hAnsi="Arial" w:cs="Arial"/>
          <w:sz w:val="20"/>
          <w:szCs w:val="20"/>
          <w:lang w:val="es-CO" w:eastAsia="es-ES"/>
        </w:rPr>
        <w:t>O</w:t>
      </w:r>
      <w:r w:rsidR="00BC714A">
        <w:rPr>
          <w:rFonts w:ascii="Arial" w:eastAsia="Times New Roman" w:hAnsi="Arial" w:cs="Arial"/>
          <w:sz w:val="20"/>
          <w:szCs w:val="20"/>
          <w:lang w:val="es-CO" w:eastAsia="es-ES"/>
        </w:rPr>
        <w:t>portunidad</w:t>
      </w:r>
      <w:r w:rsidRPr="001B0D0B">
        <w:rPr>
          <w:rFonts w:ascii="Arial" w:eastAsia="Times New Roman" w:hAnsi="Arial" w:cs="Arial"/>
          <w:sz w:val="20"/>
          <w:szCs w:val="20"/>
          <w:lang w:val="es-CO" w:eastAsia="es-ES"/>
        </w:rPr>
        <w:t xml:space="preserve"> de mejora</w:t>
      </w:r>
      <w:r w:rsidR="00BC714A">
        <w:rPr>
          <w:rFonts w:ascii="Arial" w:eastAsia="Times New Roman" w:hAnsi="Arial" w:cs="Arial"/>
          <w:sz w:val="20"/>
          <w:szCs w:val="20"/>
          <w:lang w:val="es-CO" w:eastAsia="es-ES"/>
        </w:rPr>
        <w:t>:</w:t>
      </w:r>
      <w:r w:rsidRPr="001B0D0B">
        <w:rPr>
          <w:rFonts w:ascii="Arial" w:eastAsia="Times New Roman" w:hAnsi="Arial" w:cs="Arial"/>
          <w:sz w:val="20"/>
          <w:szCs w:val="20"/>
          <w:lang w:val="es-CO" w:eastAsia="es-ES"/>
        </w:rPr>
        <w:t xml:space="preserve"> situaciones que no implican incumplimientos de requisitos, pero que deben ser tenidas en cuenta para realizar mejoras en los procesos o mitigar posibles riesgos.</w:t>
      </w:r>
    </w:p>
    <w:p w:rsidR="00060E78" w:rsidRPr="00060E78" w:rsidRDefault="00060E78">
      <w:pPr>
        <w:pStyle w:val="Textonotapie"/>
      </w:pPr>
    </w:p>
  </w:footnote>
  <w:footnote w:id="2">
    <w:p w:rsidR="001B0D0B" w:rsidRPr="001B0D0B" w:rsidRDefault="001B0D0B" w:rsidP="001B0D0B">
      <w:pPr>
        <w:pStyle w:val="Textonotapie"/>
        <w:jc w:val="both"/>
        <w:rPr>
          <w:lang w:val="es-CO"/>
        </w:rPr>
      </w:pPr>
      <w:r>
        <w:rPr>
          <w:rStyle w:val="Refdenotaalpie"/>
        </w:rPr>
        <w:footnoteRef/>
      </w:r>
      <w:r>
        <w:t xml:space="preserve"> </w:t>
      </w:r>
      <w:r>
        <w:rPr>
          <w:rFonts w:ascii="Arial" w:eastAsia="Times New Roman" w:hAnsi="Arial" w:cs="Arial"/>
          <w:szCs w:val="24"/>
          <w:lang w:val="es-CO" w:eastAsia="es-ES"/>
        </w:rPr>
        <w:t>N</w:t>
      </w:r>
      <w:r w:rsidRPr="001B0D0B">
        <w:rPr>
          <w:rFonts w:ascii="Arial" w:eastAsia="Times New Roman" w:hAnsi="Arial" w:cs="Arial"/>
          <w:szCs w:val="24"/>
          <w:lang w:val="es-CO" w:eastAsia="es-ES"/>
        </w:rPr>
        <w:t>o conformidad</w:t>
      </w:r>
      <w:r w:rsidR="00BC714A">
        <w:rPr>
          <w:rFonts w:ascii="Arial" w:eastAsia="Times New Roman" w:hAnsi="Arial" w:cs="Arial"/>
          <w:szCs w:val="24"/>
          <w:lang w:val="es-CO" w:eastAsia="es-ES"/>
        </w:rPr>
        <w:t>:</w:t>
      </w:r>
      <w:r>
        <w:rPr>
          <w:rFonts w:ascii="Arial" w:eastAsia="Times New Roman" w:hAnsi="Arial" w:cs="Arial"/>
          <w:szCs w:val="24"/>
          <w:lang w:val="es-CO" w:eastAsia="es-ES"/>
        </w:rPr>
        <w:t xml:space="preserve"> es incumplimiento</w:t>
      </w:r>
      <w:r w:rsidRPr="001B0D0B">
        <w:rPr>
          <w:rFonts w:ascii="Arial" w:eastAsia="Times New Roman" w:hAnsi="Arial" w:cs="Arial"/>
          <w:szCs w:val="24"/>
          <w:lang w:val="es-CO" w:eastAsia="es-ES"/>
        </w:rPr>
        <w:t xml:space="preserve"> de requisitos del Modelo Estándar de Control Interno para el Estado Colombiano – MECI 1000:2005, Norma Técnica de Gestión </w:t>
      </w:r>
      <w:r>
        <w:rPr>
          <w:rFonts w:ascii="Arial" w:eastAsia="Times New Roman" w:hAnsi="Arial" w:cs="Arial"/>
          <w:szCs w:val="24"/>
          <w:lang w:val="es-CO" w:eastAsia="es-ES"/>
        </w:rPr>
        <w:t>de la Calidad NTCGP-1000:2009, r</w:t>
      </w:r>
      <w:r w:rsidRPr="001B0D0B">
        <w:rPr>
          <w:rFonts w:ascii="Arial" w:eastAsia="Times New Roman" w:hAnsi="Arial" w:cs="Arial"/>
          <w:szCs w:val="24"/>
          <w:lang w:val="es-CO" w:eastAsia="es-ES"/>
        </w:rPr>
        <w:t>equisitos Legales y procedimientos</w:t>
      </w:r>
      <w:r>
        <w:rPr>
          <w:rFonts w:ascii="Arial" w:eastAsia="Times New Roman" w:hAnsi="Arial" w:cs="Arial"/>
          <w:szCs w:val="24"/>
          <w:lang w:val="es-CO"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192" w:rsidRDefault="00C87192">
    <w:pPr>
      <w:pStyle w:val="Encabezado"/>
      <w:rPr>
        <w:noProof/>
      </w:rPr>
    </w:pPr>
    <w:r>
      <w:rPr>
        <w:noProof/>
        <w:lang w:val="es-CO" w:eastAsia="es-CO"/>
      </w:rPr>
      <mc:AlternateContent>
        <mc:Choice Requires="wps">
          <w:drawing>
            <wp:anchor distT="0" distB="0" distL="114300" distR="114300" simplePos="0" relativeHeight="251658752" behindDoc="0" locked="0" layoutInCell="1" allowOverlap="1" wp14:anchorId="42B36BAF" wp14:editId="7836F0C3">
              <wp:simplePos x="0" y="0"/>
              <wp:positionH relativeFrom="page">
                <wp:posOffset>0</wp:posOffset>
              </wp:positionH>
              <wp:positionV relativeFrom="paragraph">
                <wp:posOffset>-191135</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216F23" id="Rectángulo 17" o:spid="_x0000_s1026" style="position:absolute;margin-left:0;margin-top:-15.05pt;width:711.9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" fillcolor="#1b8bd4" stroked="f">
              <v:path arrowok="t"/>
              <w10:wrap anchorx="page"/>
            </v:rect>
          </w:pict>
        </mc:Fallback>
      </mc:AlternateContent>
    </w:r>
    <w:r w:rsidRPr="0011629D">
      <w:rPr>
        <w:noProof/>
        <w:lang w:val="es-CO" w:eastAsia="es-CO"/>
      </w:rPr>
      <w:drawing>
        <wp:inline distT="0" distB="0" distL="0" distR="0" wp14:anchorId="6EBF6106" wp14:editId="3EFA0A82">
          <wp:extent cx="2039620" cy="509905"/>
          <wp:effectExtent l="0" t="0" r="0" b="4445"/>
          <wp:docPr id="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620" cy="509905"/>
                  </a:xfrm>
                  <a:prstGeom prst="rect">
                    <a:avLst/>
                  </a:prstGeom>
                  <a:noFill/>
                  <a:ln>
                    <a:noFill/>
                  </a:ln>
                </pic:spPr>
              </pic:pic>
            </a:graphicData>
          </a:graphic>
        </wp:inline>
      </w:drawing>
    </w:r>
    <w:r>
      <w:rPr>
        <w:noProof/>
        <w:lang w:eastAsia="es-CO"/>
      </w:rPr>
      <w:t xml:space="preserve">                                        </w:t>
    </w:r>
    <w:r w:rsidRPr="0011629D">
      <w:rPr>
        <w:noProof/>
        <w:lang w:val="es-CO" w:eastAsia="es-CO"/>
      </w:rPr>
      <w:drawing>
        <wp:inline distT="0" distB="0" distL="0" distR="0" wp14:anchorId="1971E34A" wp14:editId="41293AFD">
          <wp:extent cx="2532380" cy="509905"/>
          <wp:effectExtent l="0" t="0" r="1270" b="4445"/>
          <wp:docPr id="1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2380" cy="509905"/>
                  </a:xfrm>
                  <a:prstGeom prst="rect">
                    <a:avLst/>
                  </a:prstGeom>
                  <a:noFill/>
                  <a:ln>
                    <a:noFill/>
                  </a:ln>
                </pic:spPr>
              </pic:pic>
            </a:graphicData>
          </a:graphic>
        </wp:inline>
      </w:drawing>
    </w:r>
    <w:r>
      <w:rPr>
        <w:noProof/>
        <w:lang w:eastAsia="es-CO"/>
      </w:rPr>
      <w:t xml:space="preserve">             </w:t>
    </w:r>
    <w:r>
      <w:rPr>
        <w:noProof/>
        <w:lang w:val="es-CO" w:eastAsia="es-CO"/>
      </w:rPr>
      <w:t xml:space="preserve"> </w:t>
    </w:r>
    <w:r>
      <w:t xml:space="preserve">              </w:t>
    </w:r>
    <w:r>
      <w:rPr>
        <w:noProof/>
      </w:rPr>
      <w:t xml:space="preserve">                                                                                          </w:t>
    </w:r>
  </w:p>
  <w:p w:rsidR="00C87192" w:rsidRDefault="00C87192" w:rsidP="00DD3163">
    <w:pPr>
      <w:jc w:val="right"/>
      <w:rPr>
        <w:rFonts w:ascii="Arial" w:hAnsi="Arial" w:cs="Arial"/>
        <w:b/>
      </w:rPr>
    </w:pPr>
    <w:r w:rsidRPr="0011629D">
      <w:rPr>
        <w:b/>
        <w:color w:val="808080"/>
        <w:sz w:val="16"/>
        <w:szCs w:val="16"/>
      </w:rPr>
      <w:t>Código:</w:t>
    </w:r>
    <w:r w:rsidRPr="0011629D">
      <w:rPr>
        <w:color w:val="808080"/>
        <w:sz w:val="16"/>
        <w:szCs w:val="16"/>
      </w:rPr>
      <w:t xml:space="preserve"> FO-PCA-CODO-009 </w:t>
    </w:r>
    <w:r w:rsidRPr="0011629D">
      <w:rPr>
        <w:b/>
        <w:color w:val="808080"/>
        <w:sz w:val="16"/>
        <w:szCs w:val="16"/>
      </w:rPr>
      <w:t>Versión:</w:t>
    </w:r>
    <w:r w:rsidRPr="0011629D">
      <w:rPr>
        <w:color w:val="808080"/>
        <w:sz w:val="16"/>
        <w:szCs w:val="16"/>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29BC"/>
    <w:multiLevelType w:val="hybridMultilevel"/>
    <w:tmpl w:val="D2F6ABA0"/>
    <w:lvl w:ilvl="0" w:tplc="4530AE2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465418"/>
    <w:multiLevelType w:val="multilevel"/>
    <w:tmpl w:val="7C3A4444"/>
    <w:lvl w:ilvl="0">
      <w:start w:val="5"/>
      <w:numFmt w:val="decimal"/>
      <w:lvlText w:val="%1."/>
      <w:lvlJc w:val="left"/>
      <w:pPr>
        <w:ind w:left="720" w:hanging="360"/>
      </w:pPr>
      <w:rPr>
        <w:rFonts w:hint="default"/>
      </w:rPr>
    </w:lvl>
    <w:lvl w:ilvl="1">
      <w:start w:val="1"/>
      <w:numFmt w:val="decimal"/>
      <w:isLgl/>
      <w:lvlText w:val="%1.%2"/>
      <w:lvlJc w:val="left"/>
      <w:pPr>
        <w:ind w:left="1942" w:hanging="360"/>
      </w:pPr>
      <w:rPr>
        <w:rFonts w:hint="default"/>
      </w:rPr>
    </w:lvl>
    <w:lvl w:ilvl="2">
      <w:start w:val="1"/>
      <w:numFmt w:val="decimal"/>
      <w:isLgl/>
      <w:lvlText w:val="%1.%2.%3"/>
      <w:lvlJc w:val="left"/>
      <w:pPr>
        <w:ind w:left="3524" w:hanging="720"/>
      </w:pPr>
      <w:rPr>
        <w:rFonts w:hint="default"/>
      </w:rPr>
    </w:lvl>
    <w:lvl w:ilvl="3">
      <w:start w:val="1"/>
      <w:numFmt w:val="decimal"/>
      <w:isLgl/>
      <w:lvlText w:val="%1.%2.%3.%4"/>
      <w:lvlJc w:val="left"/>
      <w:pPr>
        <w:ind w:left="5106" w:hanging="1080"/>
      </w:pPr>
      <w:rPr>
        <w:rFonts w:hint="default"/>
      </w:rPr>
    </w:lvl>
    <w:lvl w:ilvl="4">
      <w:start w:val="1"/>
      <w:numFmt w:val="decimal"/>
      <w:isLgl/>
      <w:lvlText w:val="%1.%2.%3.%4.%5"/>
      <w:lvlJc w:val="left"/>
      <w:pPr>
        <w:ind w:left="6328" w:hanging="1080"/>
      </w:pPr>
      <w:rPr>
        <w:rFonts w:hint="default"/>
      </w:rPr>
    </w:lvl>
    <w:lvl w:ilvl="5">
      <w:start w:val="1"/>
      <w:numFmt w:val="decimal"/>
      <w:isLgl/>
      <w:lvlText w:val="%1.%2.%3.%4.%5.%6"/>
      <w:lvlJc w:val="left"/>
      <w:pPr>
        <w:ind w:left="7910" w:hanging="1440"/>
      </w:pPr>
      <w:rPr>
        <w:rFonts w:hint="default"/>
      </w:rPr>
    </w:lvl>
    <w:lvl w:ilvl="6">
      <w:start w:val="1"/>
      <w:numFmt w:val="decimal"/>
      <w:isLgl/>
      <w:lvlText w:val="%1.%2.%3.%4.%5.%6.%7"/>
      <w:lvlJc w:val="left"/>
      <w:pPr>
        <w:ind w:left="9132" w:hanging="1440"/>
      </w:pPr>
      <w:rPr>
        <w:rFonts w:hint="default"/>
      </w:rPr>
    </w:lvl>
    <w:lvl w:ilvl="7">
      <w:start w:val="1"/>
      <w:numFmt w:val="decimal"/>
      <w:isLgl/>
      <w:lvlText w:val="%1.%2.%3.%4.%5.%6.%7.%8"/>
      <w:lvlJc w:val="left"/>
      <w:pPr>
        <w:ind w:left="10714" w:hanging="1800"/>
      </w:pPr>
      <w:rPr>
        <w:rFonts w:hint="default"/>
      </w:rPr>
    </w:lvl>
    <w:lvl w:ilvl="8">
      <w:start w:val="1"/>
      <w:numFmt w:val="decimal"/>
      <w:isLgl/>
      <w:lvlText w:val="%1.%2.%3.%4.%5.%6.%7.%8.%9"/>
      <w:lvlJc w:val="left"/>
      <w:pPr>
        <w:ind w:left="11936" w:hanging="1800"/>
      </w:pPr>
      <w:rPr>
        <w:rFonts w:hint="default"/>
      </w:rPr>
    </w:lvl>
  </w:abstractNum>
  <w:abstractNum w:abstractNumId="2">
    <w:nsid w:val="16B9761F"/>
    <w:multiLevelType w:val="hybridMultilevel"/>
    <w:tmpl w:val="A05EC304"/>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nsid w:val="1889769B"/>
    <w:multiLevelType w:val="hybridMultilevel"/>
    <w:tmpl w:val="B43E2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CA63C19"/>
    <w:multiLevelType w:val="hybridMultilevel"/>
    <w:tmpl w:val="A2AAFD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0FD321D"/>
    <w:multiLevelType w:val="hybridMultilevel"/>
    <w:tmpl w:val="DECCF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16020AA"/>
    <w:multiLevelType w:val="hybridMultilevel"/>
    <w:tmpl w:val="1DAA6472"/>
    <w:lvl w:ilvl="0" w:tplc="2AE4E636">
      <w:start w:val="1"/>
      <w:numFmt w:val="decimal"/>
      <w:lvlText w:val="%1."/>
      <w:lvlJc w:val="left"/>
      <w:pPr>
        <w:ind w:left="1222" w:hanging="360"/>
      </w:pPr>
      <w:rPr>
        <w:rFonts w:hint="default"/>
      </w:rPr>
    </w:lvl>
    <w:lvl w:ilvl="1" w:tplc="240A0019">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7">
    <w:nsid w:val="28394BB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1A2EEC"/>
    <w:multiLevelType w:val="hybridMultilevel"/>
    <w:tmpl w:val="64CED0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DDD44DD"/>
    <w:multiLevelType w:val="hybridMultilevel"/>
    <w:tmpl w:val="2DDCB64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E820B8"/>
    <w:multiLevelType w:val="hybridMultilevel"/>
    <w:tmpl w:val="3C1EBE28"/>
    <w:lvl w:ilvl="0" w:tplc="BF76973E">
      <w:start w:val="1"/>
      <w:numFmt w:val="decimal"/>
      <w:lvlText w:val="%1."/>
      <w:lvlJc w:val="left"/>
      <w:pPr>
        <w:ind w:left="862" w:hanging="360"/>
      </w:pPr>
      <w:rPr>
        <w:rFonts w:hint="default"/>
        <w:b w:val="0"/>
      </w:rPr>
    </w:lvl>
    <w:lvl w:ilvl="1" w:tplc="240A0019">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1">
    <w:nsid w:val="3EA87BC8"/>
    <w:multiLevelType w:val="hybridMultilevel"/>
    <w:tmpl w:val="2326B3D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ABC21B2"/>
    <w:multiLevelType w:val="hybridMultilevel"/>
    <w:tmpl w:val="94B6A04C"/>
    <w:lvl w:ilvl="0" w:tplc="AEBAC04C">
      <w:start w:val="1"/>
      <w:numFmt w:val="decimal"/>
      <w:lvlText w:val="%1)"/>
      <w:lvlJc w:val="left"/>
      <w:pPr>
        <w:ind w:left="720" w:hanging="360"/>
      </w:pPr>
      <w:rPr>
        <w:rFonts w:hint="default"/>
        <w:b/>
        <w:i w:val="0"/>
        <w:position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0D87F40"/>
    <w:multiLevelType w:val="hybridMultilevel"/>
    <w:tmpl w:val="4304849E"/>
    <w:lvl w:ilvl="0" w:tplc="066CC06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4F43C31"/>
    <w:multiLevelType w:val="hybridMultilevel"/>
    <w:tmpl w:val="3C1EBE28"/>
    <w:lvl w:ilvl="0" w:tplc="BF76973E">
      <w:start w:val="1"/>
      <w:numFmt w:val="decimal"/>
      <w:lvlText w:val="%1."/>
      <w:lvlJc w:val="left"/>
      <w:pPr>
        <w:ind w:left="862" w:hanging="360"/>
      </w:pPr>
      <w:rPr>
        <w:rFonts w:hint="default"/>
        <w:b w:val="0"/>
      </w:rPr>
    </w:lvl>
    <w:lvl w:ilvl="1" w:tplc="240A0019">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5">
    <w:nsid w:val="662907CC"/>
    <w:multiLevelType w:val="hybridMultilevel"/>
    <w:tmpl w:val="AFD029E6"/>
    <w:lvl w:ilvl="0" w:tplc="240A000B">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6">
    <w:nsid w:val="69360DBD"/>
    <w:multiLevelType w:val="hybridMultilevel"/>
    <w:tmpl w:val="0D885DEA"/>
    <w:lvl w:ilvl="0" w:tplc="A7FCE934">
      <w:start w:val="1"/>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7">
    <w:nsid w:val="7C4D70B8"/>
    <w:multiLevelType w:val="multilevel"/>
    <w:tmpl w:val="4A2CD3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nsid w:val="7D7F4802"/>
    <w:multiLevelType w:val="hybridMultilevel"/>
    <w:tmpl w:val="4A366A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2"/>
  </w:num>
  <w:num w:numId="2">
    <w:abstractNumId w:val="5"/>
  </w:num>
  <w:num w:numId="3">
    <w:abstractNumId w:val="11"/>
  </w:num>
  <w:num w:numId="4">
    <w:abstractNumId w:val="18"/>
  </w:num>
  <w:num w:numId="5">
    <w:abstractNumId w:val="2"/>
  </w:num>
  <w:num w:numId="6">
    <w:abstractNumId w:val="4"/>
  </w:num>
  <w:num w:numId="7">
    <w:abstractNumId w:val="9"/>
  </w:num>
  <w:num w:numId="8">
    <w:abstractNumId w:val="14"/>
  </w:num>
  <w:num w:numId="9">
    <w:abstractNumId w:val="6"/>
  </w:num>
  <w:num w:numId="10">
    <w:abstractNumId w:val="17"/>
  </w:num>
  <w:num w:numId="11">
    <w:abstractNumId w:val="7"/>
  </w:num>
  <w:num w:numId="12">
    <w:abstractNumId w:val="1"/>
  </w:num>
  <w:num w:numId="13">
    <w:abstractNumId w:val="16"/>
  </w:num>
  <w:num w:numId="14">
    <w:abstractNumId w:val="10"/>
  </w:num>
  <w:num w:numId="15">
    <w:abstractNumId w:val="3"/>
  </w:num>
  <w:num w:numId="16">
    <w:abstractNumId w:val="13"/>
  </w:num>
  <w:num w:numId="17">
    <w:abstractNumId w:val="0"/>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D7"/>
    <w:rsid w:val="00012C04"/>
    <w:rsid w:val="000258F6"/>
    <w:rsid w:val="00027DE0"/>
    <w:rsid w:val="00031993"/>
    <w:rsid w:val="00032D93"/>
    <w:rsid w:val="00050B79"/>
    <w:rsid w:val="00060E78"/>
    <w:rsid w:val="00067CFA"/>
    <w:rsid w:val="00076FB3"/>
    <w:rsid w:val="000904F5"/>
    <w:rsid w:val="000A3965"/>
    <w:rsid w:val="000C05AE"/>
    <w:rsid w:val="000D71DC"/>
    <w:rsid w:val="000E5F10"/>
    <w:rsid w:val="00104649"/>
    <w:rsid w:val="001070F3"/>
    <w:rsid w:val="001111E7"/>
    <w:rsid w:val="0011629D"/>
    <w:rsid w:val="0011640A"/>
    <w:rsid w:val="001354F7"/>
    <w:rsid w:val="00141194"/>
    <w:rsid w:val="00153ACA"/>
    <w:rsid w:val="00165B99"/>
    <w:rsid w:val="00174337"/>
    <w:rsid w:val="001762A1"/>
    <w:rsid w:val="00177191"/>
    <w:rsid w:val="001805D6"/>
    <w:rsid w:val="00182294"/>
    <w:rsid w:val="00187C22"/>
    <w:rsid w:val="001900A4"/>
    <w:rsid w:val="001B0D0B"/>
    <w:rsid w:val="001B691D"/>
    <w:rsid w:val="001C0AC6"/>
    <w:rsid w:val="001D489F"/>
    <w:rsid w:val="001D58CE"/>
    <w:rsid w:val="001E32FC"/>
    <w:rsid w:val="001E6E82"/>
    <w:rsid w:val="001F227B"/>
    <w:rsid w:val="001F3093"/>
    <w:rsid w:val="00220932"/>
    <w:rsid w:val="00240A98"/>
    <w:rsid w:val="002433B9"/>
    <w:rsid w:val="002456C3"/>
    <w:rsid w:val="00253944"/>
    <w:rsid w:val="00264DF4"/>
    <w:rsid w:val="00265C3C"/>
    <w:rsid w:val="00267FFE"/>
    <w:rsid w:val="00274288"/>
    <w:rsid w:val="0028140E"/>
    <w:rsid w:val="002831D5"/>
    <w:rsid w:val="0028781D"/>
    <w:rsid w:val="002923AB"/>
    <w:rsid w:val="00296C1F"/>
    <w:rsid w:val="002C3390"/>
    <w:rsid w:val="002E7678"/>
    <w:rsid w:val="002E7F6B"/>
    <w:rsid w:val="002F2636"/>
    <w:rsid w:val="00324F44"/>
    <w:rsid w:val="0035611C"/>
    <w:rsid w:val="0037148C"/>
    <w:rsid w:val="00376ADE"/>
    <w:rsid w:val="0039749B"/>
    <w:rsid w:val="003A122C"/>
    <w:rsid w:val="003B3AD7"/>
    <w:rsid w:val="003C5435"/>
    <w:rsid w:val="003C5C49"/>
    <w:rsid w:val="0040539D"/>
    <w:rsid w:val="00410584"/>
    <w:rsid w:val="0042656D"/>
    <w:rsid w:val="004273AB"/>
    <w:rsid w:val="00452500"/>
    <w:rsid w:val="004679E8"/>
    <w:rsid w:val="00490CBC"/>
    <w:rsid w:val="004C639E"/>
    <w:rsid w:val="004E203D"/>
    <w:rsid w:val="004F2D07"/>
    <w:rsid w:val="00506E05"/>
    <w:rsid w:val="00506F1F"/>
    <w:rsid w:val="005161CA"/>
    <w:rsid w:val="00530FF2"/>
    <w:rsid w:val="00531E3A"/>
    <w:rsid w:val="0055577A"/>
    <w:rsid w:val="00584F0D"/>
    <w:rsid w:val="005A48DD"/>
    <w:rsid w:val="005B3BB7"/>
    <w:rsid w:val="005B44CD"/>
    <w:rsid w:val="005E2D54"/>
    <w:rsid w:val="0067287C"/>
    <w:rsid w:val="00687091"/>
    <w:rsid w:val="006A332E"/>
    <w:rsid w:val="006B0C0A"/>
    <w:rsid w:val="006B50FF"/>
    <w:rsid w:val="006C519B"/>
    <w:rsid w:val="006C530F"/>
    <w:rsid w:val="006E19B6"/>
    <w:rsid w:val="006E4166"/>
    <w:rsid w:val="00711FA6"/>
    <w:rsid w:val="00733693"/>
    <w:rsid w:val="00733DEC"/>
    <w:rsid w:val="00736976"/>
    <w:rsid w:val="00773DB4"/>
    <w:rsid w:val="007A70F1"/>
    <w:rsid w:val="00802A09"/>
    <w:rsid w:val="0082273E"/>
    <w:rsid w:val="008309DE"/>
    <w:rsid w:val="0083693A"/>
    <w:rsid w:val="0084451A"/>
    <w:rsid w:val="00852DBF"/>
    <w:rsid w:val="00880991"/>
    <w:rsid w:val="00881F59"/>
    <w:rsid w:val="0088540C"/>
    <w:rsid w:val="0089001E"/>
    <w:rsid w:val="00892CDE"/>
    <w:rsid w:val="008B0ACB"/>
    <w:rsid w:val="008D64D7"/>
    <w:rsid w:val="008E2A1F"/>
    <w:rsid w:val="008E391B"/>
    <w:rsid w:val="008E62CA"/>
    <w:rsid w:val="009071AF"/>
    <w:rsid w:val="00934EF1"/>
    <w:rsid w:val="00941C33"/>
    <w:rsid w:val="00984EFC"/>
    <w:rsid w:val="009A0F83"/>
    <w:rsid w:val="009A7751"/>
    <w:rsid w:val="009C7362"/>
    <w:rsid w:val="009D0DA1"/>
    <w:rsid w:val="009D1475"/>
    <w:rsid w:val="009E0516"/>
    <w:rsid w:val="009E05F6"/>
    <w:rsid w:val="00A003FE"/>
    <w:rsid w:val="00A22A02"/>
    <w:rsid w:val="00A65B07"/>
    <w:rsid w:val="00A757AB"/>
    <w:rsid w:val="00A95F19"/>
    <w:rsid w:val="00A96F26"/>
    <w:rsid w:val="00A977F1"/>
    <w:rsid w:val="00A97892"/>
    <w:rsid w:val="00AD4EAF"/>
    <w:rsid w:val="00AE496F"/>
    <w:rsid w:val="00B10136"/>
    <w:rsid w:val="00B2470C"/>
    <w:rsid w:val="00B3289F"/>
    <w:rsid w:val="00B361B3"/>
    <w:rsid w:val="00B5052C"/>
    <w:rsid w:val="00B757AF"/>
    <w:rsid w:val="00BC39D2"/>
    <w:rsid w:val="00BC4EF3"/>
    <w:rsid w:val="00BC5BDC"/>
    <w:rsid w:val="00BC714A"/>
    <w:rsid w:val="00BD0F23"/>
    <w:rsid w:val="00BF3619"/>
    <w:rsid w:val="00BF4DDD"/>
    <w:rsid w:val="00C11ECC"/>
    <w:rsid w:val="00C154B6"/>
    <w:rsid w:val="00C31B89"/>
    <w:rsid w:val="00C6344B"/>
    <w:rsid w:val="00C849B6"/>
    <w:rsid w:val="00C87192"/>
    <w:rsid w:val="00C94B35"/>
    <w:rsid w:val="00C964B8"/>
    <w:rsid w:val="00CA2229"/>
    <w:rsid w:val="00CA2A96"/>
    <w:rsid w:val="00CC66AA"/>
    <w:rsid w:val="00CD21D8"/>
    <w:rsid w:val="00CD6F41"/>
    <w:rsid w:val="00CE3B31"/>
    <w:rsid w:val="00CF3197"/>
    <w:rsid w:val="00D00097"/>
    <w:rsid w:val="00D074B6"/>
    <w:rsid w:val="00D2382D"/>
    <w:rsid w:val="00D27775"/>
    <w:rsid w:val="00D32163"/>
    <w:rsid w:val="00D409AD"/>
    <w:rsid w:val="00D6288E"/>
    <w:rsid w:val="00D663DF"/>
    <w:rsid w:val="00D71BE9"/>
    <w:rsid w:val="00D84783"/>
    <w:rsid w:val="00DB659A"/>
    <w:rsid w:val="00DD050E"/>
    <w:rsid w:val="00DD0A09"/>
    <w:rsid w:val="00DD3163"/>
    <w:rsid w:val="00DE2C2B"/>
    <w:rsid w:val="00DF7440"/>
    <w:rsid w:val="00DF7740"/>
    <w:rsid w:val="00E42089"/>
    <w:rsid w:val="00E46577"/>
    <w:rsid w:val="00E515F7"/>
    <w:rsid w:val="00E60ADF"/>
    <w:rsid w:val="00E81F34"/>
    <w:rsid w:val="00EA7B3F"/>
    <w:rsid w:val="00EC65DA"/>
    <w:rsid w:val="00EF2B5A"/>
    <w:rsid w:val="00EF7A34"/>
    <w:rsid w:val="00F02908"/>
    <w:rsid w:val="00F22799"/>
    <w:rsid w:val="00F25A7B"/>
    <w:rsid w:val="00F454CB"/>
    <w:rsid w:val="00F54ECA"/>
    <w:rsid w:val="00F57816"/>
    <w:rsid w:val="00F96C21"/>
    <w:rsid w:val="00FB5FF7"/>
    <w:rsid w:val="00FC7677"/>
    <w:rsid w:val="00FD193F"/>
    <w:rsid w:val="00FE0A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0A"/>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table" w:customStyle="1" w:styleId="Tablaconcuadrcula1">
    <w:name w:val="Tabla con cuadrícula1"/>
    <w:basedOn w:val="Tablanormal"/>
    <w:next w:val="Tablaconcuadrcula"/>
    <w:uiPriority w:val="59"/>
    <w:rsid w:val="00296C1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296C1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
    <w:name w:val="Table Grid"/>
    <w:basedOn w:val="Tablanormal"/>
    <w:uiPriority w:val="59"/>
    <w:rsid w:val="00296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900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4053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C8719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87192"/>
    <w:rPr>
      <w:lang w:val="es-ES" w:eastAsia="en-US"/>
    </w:rPr>
  </w:style>
  <w:style w:type="character" w:styleId="Refdenotaalfinal">
    <w:name w:val="endnote reference"/>
    <w:basedOn w:val="Fuentedeprrafopredeter"/>
    <w:uiPriority w:val="99"/>
    <w:semiHidden/>
    <w:unhideWhenUsed/>
    <w:rsid w:val="00C87192"/>
    <w:rPr>
      <w:vertAlign w:val="superscript"/>
    </w:rPr>
  </w:style>
  <w:style w:type="paragraph" w:styleId="Textonotapie">
    <w:name w:val="footnote text"/>
    <w:basedOn w:val="Normal"/>
    <w:link w:val="TextonotapieCar"/>
    <w:uiPriority w:val="99"/>
    <w:semiHidden/>
    <w:unhideWhenUsed/>
    <w:rsid w:val="00060E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0E78"/>
    <w:rPr>
      <w:lang w:val="es-ES" w:eastAsia="en-US"/>
    </w:rPr>
  </w:style>
  <w:style w:type="character" w:styleId="Refdenotaalpie">
    <w:name w:val="footnote reference"/>
    <w:basedOn w:val="Fuentedeprrafopredeter"/>
    <w:uiPriority w:val="99"/>
    <w:semiHidden/>
    <w:unhideWhenUsed/>
    <w:rsid w:val="00060E78"/>
    <w:rPr>
      <w:vertAlign w:val="superscript"/>
    </w:rPr>
  </w:style>
  <w:style w:type="paragraph" w:customStyle="1" w:styleId="Default">
    <w:name w:val="Default"/>
    <w:rsid w:val="00EC65DA"/>
    <w:pPr>
      <w:autoSpaceDE w:val="0"/>
      <w:autoSpaceDN w:val="0"/>
      <w:adjustRightInd w:val="0"/>
    </w:pPr>
    <w:rPr>
      <w:rFonts w:ascii="Malgun Gothic" w:eastAsia="Malgun Gothic" w:cs="Malgun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0A"/>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table" w:customStyle="1" w:styleId="Tablaconcuadrcula1">
    <w:name w:val="Tabla con cuadrícula1"/>
    <w:basedOn w:val="Tablanormal"/>
    <w:next w:val="Tablaconcuadrcula"/>
    <w:uiPriority w:val="59"/>
    <w:rsid w:val="00296C1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296C1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
    <w:name w:val="Table Grid"/>
    <w:basedOn w:val="Tablanormal"/>
    <w:uiPriority w:val="59"/>
    <w:rsid w:val="00296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900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4053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C8719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87192"/>
    <w:rPr>
      <w:lang w:val="es-ES" w:eastAsia="en-US"/>
    </w:rPr>
  </w:style>
  <w:style w:type="character" w:styleId="Refdenotaalfinal">
    <w:name w:val="endnote reference"/>
    <w:basedOn w:val="Fuentedeprrafopredeter"/>
    <w:uiPriority w:val="99"/>
    <w:semiHidden/>
    <w:unhideWhenUsed/>
    <w:rsid w:val="00C87192"/>
    <w:rPr>
      <w:vertAlign w:val="superscript"/>
    </w:rPr>
  </w:style>
  <w:style w:type="paragraph" w:styleId="Textonotapie">
    <w:name w:val="footnote text"/>
    <w:basedOn w:val="Normal"/>
    <w:link w:val="TextonotapieCar"/>
    <w:uiPriority w:val="99"/>
    <w:semiHidden/>
    <w:unhideWhenUsed/>
    <w:rsid w:val="00060E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0E78"/>
    <w:rPr>
      <w:lang w:val="es-ES" w:eastAsia="en-US"/>
    </w:rPr>
  </w:style>
  <w:style w:type="character" w:styleId="Refdenotaalpie">
    <w:name w:val="footnote reference"/>
    <w:basedOn w:val="Fuentedeprrafopredeter"/>
    <w:uiPriority w:val="99"/>
    <w:semiHidden/>
    <w:unhideWhenUsed/>
    <w:rsid w:val="00060E78"/>
    <w:rPr>
      <w:vertAlign w:val="superscript"/>
    </w:rPr>
  </w:style>
  <w:style w:type="paragraph" w:customStyle="1" w:styleId="Default">
    <w:name w:val="Default"/>
    <w:rsid w:val="00EC65DA"/>
    <w:pPr>
      <w:autoSpaceDE w:val="0"/>
      <w:autoSpaceDN w:val="0"/>
      <w:adjustRightInd w:val="0"/>
    </w:pPr>
    <w:rPr>
      <w:rFonts w:ascii="Malgun Gothic" w:eastAsia="Malgun Gothic" w:cs="Malgun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google.com.co/url?sa=t&amp;rct=j&amp;q=&amp;esrc=s&amp;source=web&amp;cd=1&amp;cad=rja&amp;uact=8&amp;sqi=2&amp;ved=0CBsQFjAA&amp;url=http%3A%2F%2Fportal.dafp.gov.co%2Fform%2Fformularios.retrive_publicaciones%3Fno%3D579&amp;ei=ed23VK7JCYWegwSOj4LIDg&amp;usg=AFQjCNGzYhN0j4gR2ImThURCr2EMBIXarQ"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3CF4E-3EE6-46D1-B5CE-094421360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2038</TotalTime>
  <Pages>13</Pages>
  <Words>3833</Words>
  <Characters>21087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24871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Emilio Vidarte Coronado</dc:creator>
  <cp:lastModifiedBy>agomezo</cp:lastModifiedBy>
  <cp:revision>102</cp:revision>
  <cp:lastPrinted>2015-04-14T15:56:00Z</cp:lastPrinted>
  <dcterms:created xsi:type="dcterms:W3CDTF">2015-01-30T23:13:00Z</dcterms:created>
  <dcterms:modified xsi:type="dcterms:W3CDTF">2015-05-06T16:25:00Z</dcterms:modified>
</cp:coreProperties>
</file>