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val="es-419" w:eastAsia="es-419"/>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val="es-419" w:eastAsia="es-419"/>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731616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DEL </w:t>
                            </w:r>
                            <w:r w:rsidR="00664682">
                              <w:rPr>
                                <w:rFonts w:ascii="Arial Narrow" w:hAnsi="Arial Narrow" w:cs="Arial"/>
                                <w:b/>
                                <w:sz w:val="28"/>
                                <w:szCs w:val="28"/>
                              </w:rPr>
                              <w:t xml:space="preserve"> </w:t>
                            </w:r>
                            <w:r w:rsidR="00D54308">
                              <w:rPr>
                                <w:rFonts w:ascii="Arial Narrow" w:hAnsi="Arial Narrow" w:cs="Arial"/>
                                <w:b/>
                                <w:sz w:val="28"/>
                                <w:szCs w:val="28"/>
                              </w:rPr>
                              <w:t xml:space="preserve">SEGUNDO </w:t>
                            </w:r>
                            <w:r w:rsidR="00664682">
                              <w:rPr>
                                <w:rFonts w:ascii="Arial Narrow" w:hAnsi="Arial Narrow" w:cs="Arial"/>
                                <w:b/>
                                <w:sz w:val="28"/>
                                <w:szCs w:val="28"/>
                              </w:rPr>
                              <w:t xml:space="preserve"> (I</w:t>
                            </w:r>
                            <w:r w:rsidR="00D54308">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731616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DEL </w:t>
                      </w:r>
                      <w:r w:rsidR="00664682">
                        <w:rPr>
                          <w:rFonts w:ascii="Arial Narrow" w:hAnsi="Arial Narrow" w:cs="Arial"/>
                          <w:b/>
                          <w:sz w:val="28"/>
                          <w:szCs w:val="28"/>
                        </w:rPr>
                        <w:t xml:space="preserve"> </w:t>
                      </w:r>
                      <w:r w:rsidR="00D54308">
                        <w:rPr>
                          <w:rFonts w:ascii="Arial Narrow" w:hAnsi="Arial Narrow" w:cs="Arial"/>
                          <w:b/>
                          <w:sz w:val="28"/>
                          <w:szCs w:val="28"/>
                        </w:rPr>
                        <w:t xml:space="preserve">SEGUNDO </w:t>
                      </w:r>
                      <w:r w:rsidR="00664682">
                        <w:rPr>
                          <w:rFonts w:ascii="Arial Narrow" w:hAnsi="Arial Narrow" w:cs="Arial"/>
                          <w:b/>
                          <w:sz w:val="28"/>
                          <w:szCs w:val="28"/>
                        </w:rPr>
                        <w:t xml:space="preserve"> (I</w:t>
                      </w:r>
                      <w:r w:rsidR="00D54308">
                        <w:rPr>
                          <w:rFonts w:ascii="Arial Narrow" w:hAnsi="Arial Narrow" w:cs="Arial"/>
                          <w:b/>
                          <w:sz w:val="28"/>
                          <w:szCs w:val="28"/>
                        </w:rPr>
                        <w:t>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val="es-419" w:eastAsia="es-419"/>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" filled="f" stroked="f" strokecolor="white" strokeweight="1pt">
                <v:fill opacity="52428f"/>
                <v:textbox inset="28.8pt,14.4pt,14.4pt,14.4pt">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266"/>
        <w:gridCol w:w="4412"/>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08765E">
        <w:tc>
          <w:tcPr>
            <w:tcW w:w="526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412" w:type="dxa"/>
          </w:tcPr>
          <w:p w14:paraId="2EC07E34" w14:textId="38AB80BC" w:rsidR="00C37F99" w:rsidRPr="00A34310" w:rsidRDefault="00F00485" w:rsidP="00A06AB1">
            <w:pPr>
              <w:pStyle w:val="Prrafodelista"/>
              <w:ind w:left="0"/>
              <w:rPr>
                <w:rFonts w:ascii="Arial Narrow" w:hAnsi="Arial Narrow" w:cs="Arial"/>
              </w:rPr>
            </w:pPr>
            <w:r>
              <w:rPr>
                <w:rFonts w:ascii="Arial Narrow" w:hAnsi="Arial Narrow" w:cs="Arial"/>
              </w:rPr>
              <w:t>24</w:t>
            </w:r>
            <w:bookmarkStart w:id="0" w:name="_GoBack"/>
            <w:bookmarkEnd w:id="0"/>
            <w:r w:rsidR="00FD259D">
              <w:rPr>
                <w:rFonts w:ascii="Arial Narrow" w:hAnsi="Arial Narrow" w:cs="Arial"/>
              </w:rPr>
              <w:t xml:space="preserve"> de agosto </w:t>
            </w:r>
            <w:r w:rsidR="00AF0A1B">
              <w:rPr>
                <w:rFonts w:ascii="Arial Narrow" w:hAnsi="Arial Narrow" w:cs="Arial"/>
              </w:rPr>
              <w:t>de</w:t>
            </w:r>
            <w:r w:rsidR="00A0001A">
              <w:rPr>
                <w:rFonts w:ascii="Arial Narrow" w:hAnsi="Arial Narrow" w:cs="Arial"/>
              </w:rPr>
              <w:t xml:space="preserve"> 202</w:t>
            </w:r>
            <w:r w:rsidR="00910B5C">
              <w:rPr>
                <w:rFonts w:ascii="Arial Narrow" w:hAnsi="Arial Narrow" w:cs="Arial"/>
              </w:rPr>
              <w:t>1</w:t>
            </w:r>
          </w:p>
        </w:tc>
      </w:tr>
      <w:tr w:rsidR="00C37F99" w:rsidRPr="00A34310" w14:paraId="24755DDD" w14:textId="77777777" w:rsidTr="0008765E">
        <w:tc>
          <w:tcPr>
            <w:tcW w:w="526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412" w:type="dxa"/>
          </w:tcPr>
          <w:p w14:paraId="5C82E418" w14:textId="2A0DF8E7" w:rsidR="00C37F99" w:rsidRPr="00A34310" w:rsidRDefault="002374E2" w:rsidP="002374E2">
            <w:pPr>
              <w:pStyle w:val="Prrafodelista"/>
              <w:ind w:left="0"/>
              <w:rPr>
                <w:rFonts w:ascii="Arial Narrow" w:hAnsi="Arial Narrow" w:cs="Arial"/>
              </w:rPr>
            </w:pPr>
            <w:r w:rsidRPr="00A34310">
              <w:rPr>
                <w:rFonts w:ascii="Arial Narrow" w:hAnsi="Arial Narrow" w:cs="Arial"/>
              </w:rPr>
              <w:t>I</w:t>
            </w:r>
            <w:r w:rsidR="00EE3BFF">
              <w:rPr>
                <w:rFonts w:ascii="Arial Narrow" w:hAnsi="Arial Narrow" w:cs="Arial"/>
              </w:rPr>
              <w:t>I</w:t>
            </w:r>
            <w:r w:rsidR="00C37F99" w:rsidRPr="00A34310">
              <w:rPr>
                <w:rFonts w:ascii="Arial Narrow" w:hAnsi="Arial Narrow" w:cs="Arial"/>
              </w:rPr>
              <w:t xml:space="preserve"> trimestre año </w:t>
            </w:r>
            <w:r w:rsidRPr="00A34310">
              <w:rPr>
                <w:rFonts w:ascii="Arial Narrow" w:hAnsi="Arial Narrow" w:cs="Arial"/>
              </w:rPr>
              <w:t>20</w:t>
            </w:r>
            <w:r w:rsidR="001D2B19">
              <w:rPr>
                <w:rFonts w:ascii="Arial Narrow" w:hAnsi="Arial Narrow" w:cs="Arial"/>
              </w:rPr>
              <w:t>2</w:t>
            </w:r>
            <w:r w:rsidR="00910B5C">
              <w:rPr>
                <w:rFonts w:ascii="Arial Narrow" w:hAnsi="Arial Narrow" w:cs="Arial"/>
              </w:rPr>
              <w:t>1</w:t>
            </w:r>
          </w:p>
        </w:tc>
      </w:tr>
      <w:tr w:rsidR="00C37F99" w:rsidRPr="00A34310" w14:paraId="223C1647" w14:textId="77777777" w:rsidTr="0008765E">
        <w:tc>
          <w:tcPr>
            <w:tcW w:w="526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41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08765E">
        <w:tc>
          <w:tcPr>
            <w:tcW w:w="526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41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2F6C0386" w:rsidR="00C37F99" w:rsidRPr="00A34310" w:rsidRDefault="00C37F99" w:rsidP="00FD259D">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el</w:t>
            </w:r>
            <w:r w:rsidR="00FD259D">
              <w:rPr>
                <w:rFonts w:ascii="Arial Narrow" w:hAnsi="Arial Narrow" w:cs="Arial"/>
                <w:color w:val="auto"/>
                <w:sz w:val="22"/>
                <w:szCs w:val="22"/>
              </w:rPr>
              <w:t xml:space="preserve"> segundo</w:t>
            </w:r>
            <w:r w:rsidR="00910B5C">
              <w:rPr>
                <w:rFonts w:ascii="Arial Narrow" w:hAnsi="Arial Narrow" w:cs="Arial"/>
                <w:color w:val="auto"/>
                <w:sz w:val="22"/>
                <w:szCs w:val="22"/>
              </w:rPr>
              <w:t xml:space="preserve"> </w:t>
            </w:r>
            <w:r w:rsidR="001D2B19">
              <w:rPr>
                <w:rFonts w:ascii="Arial Narrow" w:hAnsi="Arial Narrow" w:cs="Arial"/>
                <w:color w:val="auto"/>
                <w:sz w:val="22"/>
                <w:szCs w:val="22"/>
              </w:rPr>
              <w:t xml:space="preserve"> (I</w:t>
            </w:r>
            <w:r w:rsidR="00FD259D">
              <w:rPr>
                <w:rFonts w:ascii="Arial Narrow" w:hAnsi="Arial Narrow" w:cs="Arial"/>
                <w:color w:val="auto"/>
                <w:sz w:val="22"/>
                <w:szCs w:val="22"/>
              </w:rPr>
              <w:t>I</w:t>
            </w:r>
            <w:r w:rsidR="005A376C">
              <w:rPr>
                <w:rFonts w:ascii="Arial Narrow" w:hAnsi="Arial Narrow" w:cs="Arial"/>
                <w:color w:val="auto"/>
                <w:sz w:val="22"/>
                <w:szCs w:val="22"/>
              </w:rPr>
              <w:t xml:space="preserve">)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w:t>
            </w:r>
            <w:r w:rsidR="00910B5C">
              <w:rPr>
                <w:rFonts w:ascii="Arial Narrow" w:hAnsi="Arial Narrow" w:cs="Arial"/>
                <w:color w:val="auto"/>
                <w:sz w:val="22"/>
                <w:szCs w:val="22"/>
              </w:rPr>
              <w:t>1</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4613CA65"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w:t>
            </w:r>
            <w:r w:rsidR="00CA1655">
              <w:rPr>
                <w:rFonts w:ascii="Arial Narrow" w:hAnsi="Arial Narrow" w:cs="Arial"/>
              </w:rPr>
              <w:t>Gestión</w:t>
            </w:r>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4DBC8142"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FD259D">
              <w:rPr>
                <w:rFonts w:ascii="Arial Narrow" w:hAnsi="Arial Narrow" w:cs="Arial"/>
                <w:b/>
                <w:bCs/>
              </w:rPr>
              <w:t>segundo</w:t>
            </w:r>
            <w:r w:rsidR="001D2B19" w:rsidRPr="00910B5C">
              <w:rPr>
                <w:rFonts w:ascii="Arial Narrow" w:hAnsi="Arial Narrow" w:cs="Arial"/>
                <w:b/>
                <w:bCs/>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w:t>
            </w:r>
            <w:r w:rsidR="00910B5C">
              <w:rPr>
                <w:rFonts w:ascii="Arial Narrow" w:hAnsi="Arial Narrow" w:cs="Arial"/>
                <w:b/>
              </w:rPr>
              <w:t>1</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189E29DC"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910B5C">
              <w:rPr>
                <w:rFonts w:ascii="Arial Narrow" w:hAnsi="Arial Narrow" w:cs="Arial"/>
              </w:rPr>
              <w:t>1</w:t>
            </w:r>
            <w:r w:rsidR="001D2B19">
              <w:rPr>
                <w:rFonts w:ascii="Arial Narrow" w:hAnsi="Arial Narrow" w:cs="Arial"/>
              </w:rPr>
              <w:t>5 de Diciembre de 20</w:t>
            </w:r>
            <w:r w:rsidR="00910B5C">
              <w:rPr>
                <w:rFonts w:ascii="Arial Narrow" w:hAnsi="Arial Narrow" w:cs="Arial"/>
              </w:rPr>
              <w:t>20</w:t>
            </w:r>
            <w:r w:rsidR="001D2B19">
              <w:rPr>
                <w:rFonts w:ascii="Arial Narrow" w:hAnsi="Arial Narrow" w:cs="Arial"/>
              </w:rPr>
              <w:t xml:space="preserve">  </w:t>
            </w:r>
            <w:r w:rsidRPr="00A34310">
              <w:rPr>
                <w:rFonts w:ascii="Arial Narrow" w:hAnsi="Arial Narrow" w:cs="Arial"/>
              </w:rPr>
              <w:t xml:space="preserve">por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42228CEB" w14:textId="760E59CF" w:rsidR="00AC69AB" w:rsidRDefault="00AC69AB" w:rsidP="00C10BEE">
            <w:pPr>
              <w:spacing w:after="0" w:line="360" w:lineRule="auto"/>
              <w:jc w:val="both"/>
              <w:rPr>
                <w:rFonts w:ascii="Arial Narrow" w:hAnsi="Arial Narrow" w:cs="Arial"/>
              </w:rPr>
            </w:pPr>
            <w:r>
              <w:rPr>
                <w:rFonts w:ascii="Arial Narrow" w:hAnsi="Arial Narrow" w:cs="Arial"/>
              </w:rPr>
              <w:t xml:space="preserve">En el </w:t>
            </w:r>
            <w:r w:rsidR="00991632">
              <w:rPr>
                <w:rFonts w:ascii="Arial Narrow" w:hAnsi="Arial Narrow" w:cs="Arial"/>
              </w:rPr>
              <w:t xml:space="preserve"> </w:t>
            </w:r>
            <w:r w:rsidR="00FD259D">
              <w:rPr>
                <w:rFonts w:ascii="Arial Narrow" w:hAnsi="Arial Narrow" w:cs="Arial"/>
              </w:rPr>
              <w:t>segundo</w:t>
            </w:r>
            <w:r w:rsidR="00991632">
              <w:rPr>
                <w:rFonts w:ascii="Arial Narrow" w:hAnsi="Arial Narrow" w:cs="Arial"/>
              </w:rPr>
              <w:t xml:space="preserve"> </w:t>
            </w:r>
            <w:r>
              <w:rPr>
                <w:rFonts w:ascii="Arial Narrow" w:hAnsi="Arial Narrow" w:cs="Arial"/>
              </w:rPr>
              <w:t xml:space="preserve"> (</w:t>
            </w:r>
            <w:r w:rsidR="00FD259D">
              <w:rPr>
                <w:rFonts w:ascii="Arial Narrow" w:hAnsi="Arial Narrow" w:cs="Arial"/>
              </w:rPr>
              <w:t>I</w:t>
            </w:r>
            <w:r>
              <w:rPr>
                <w:rFonts w:ascii="Arial Narrow" w:hAnsi="Arial Narrow" w:cs="Arial"/>
              </w:rPr>
              <w:t>I) trimestre  del año 202</w:t>
            </w:r>
            <w:r w:rsidR="00910B5C">
              <w:rPr>
                <w:rFonts w:ascii="Arial Narrow" w:hAnsi="Arial Narrow" w:cs="Arial"/>
              </w:rPr>
              <w:t>1</w:t>
            </w:r>
            <w:r>
              <w:rPr>
                <w:rFonts w:ascii="Arial Narrow" w:hAnsi="Arial Narrow" w:cs="Arial"/>
              </w:rPr>
              <w:t xml:space="preserve">, </w:t>
            </w:r>
            <w:r w:rsidR="00910B5C">
              <w:rPr>
                <w:rFonts w:ascii="Arial Narrow" w:hAnsi="Arial Narrow" w:cs="Arial"/>
              </w:rPr>
              <w:t>según el plan de trabajo de la OCI se</w:t>
            </w:r>
            <w:r>
              <w:rPr>
                <w:rFonts w:ascii="Arial Narrow" w:hAnsi="Arial Narrow" w:cs="Arial"/>
              </w:rPr>
              <w:t xml:space="preserve"> realizaron  </w:t>
            </w:r>
            <w:r w:rsidR="00910B5C">
              <w:rPr>
                <w:rFonts w:ascii="Arial Narrow" w:hAnsi="Arial Narrow" w:cs="Arial"/>
              </w:rPr>
              <w:t>seis</w:t>
            </w:r>
            <w:r>
              <w:rPr>
                <w:rFonts w:ascii="Arial Narrow" w:hAnsi="Arial Narrow" w:cs="Arial"/>
              </w:rPr>
              <w:t xml:space="preserve"> (</w:t>
            </w:r>
            <w:r w:rsidR="00910B5C">
              <w:rPr>
                <w:rFonts w:ascii="Arial Narrow" w:hAnsi="Arial Narrow" w:cs="Arial"/>
              </w:rPr>
              <w:t>6</w:t>
            </w:r>
            <w:r>
              <w:rPr>
                <w:rFonts w:ascii="Arial Narrow" w:hAnsi="Arial Narrow" w:cs="Arial"/>
              </w:rPr>
              <w:t>) auditorías internas del Sistema Integrado de gestión y Calidad a los siguientes procesos</w:t>
            </w:r>
            <w:r w:rsidR="00994C7D">
              <w:rPr>
                <w:rFonts w:ascii="Arial Narrow" w:hAnsi="Arial Narrow" w:cs="Arial"/>
              </w:rPr>
              <w:t xml:space="preserve"> de la entidad </w:t>
            </w:r>
            <w:r>
              <w:rPr>
                <w:rFonts w:ascii="Arial Narrow" w:hAnsi="Arial Narrow" w:cs="Arial"/>
              </w:rPr>
              <w:t xml:space="preserve">: </w:t>
            </w:r>
          </w:p>
          <w:p w14:paraId="1F984A12" w14:textId="3ECA778D" w:rsidR="00FD259D" w:rsidRDefault="00FD259D" w:rsidP="00C10BEE">
            <w:pPr>
              <w:spacing w:after="0" w:line="360" w:lineRule="auto"/>
              <w:jc w:val="both"/>
              <w:rPr>
                <w:rFonts w:ascii="Arial Narrow" w:hAnsi="Arial Narrow" w:cs="Arial"/>
              </w:rPr>
            </w:pPr>
          </w:p>
          <w:p w14:paraId="2928B340" w14:textId="77777777"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Visitas a Entes Vigilados</w:t>
            </w:r>
          </w:p>
          <w:p w14:paraId="197166A2" w14:textId="77777777"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Control Financiero Contable de las CCF.</w:t>
            </w:r>
          </w:p>
          <w:p w14:paraId="2E7B1A29" w14:textId="77777777"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Control Legal de Cajas de Compensación Familiar</w:t>
            </w:r>
          </w:p>
          <w:p w14:paraId="43A77168" w14:textId="2CB4B384"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 xml:space="preserve">Gestión </w:t>
            </w:r>
            <w:r>
              <w:rPr>
                <w:rFonts w:ascii="Arial Narrow" w:hAnsi="Arial Narrow" w:cs="Arial"/>
                <w:b/>
              </w:rPr>
              <w:t>de Sistemas de Información Tic</w:t>
            </w:r>
          </w:p>
          <w:p w14:paraId="09B68CCF" w14:textId="77777777"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Estudios Especiales y Evaluación de Proyectos</w:t>
            </w:r>
          </w:p>
          <w:p w14:paraId="78592846" w14:textId="3B449580" w:rsidR="00FD259D" w:rsidRPr="00FD259D" w:rsidRDefault="00FD259D" w:rsidP="00FD259D">
            <w:pPr>
              <w:pStyle w:val="Prrafodelista"/>
              <w:numPr>
                <w:ilvl w:val="0"/>
                <w:numId w:val="35"/>
              </w:numPr>
              <w:spacing w:after="0" w:line="360" w:lineRule="auto"/>
              <w:jc w:val="both"/>
              <w:rPr>
                <w:rFonts w:ascii="Arial Narrow" w:hAnsi="Arial Narrow" w:cs="Arial"/>
                <w:b/>
              </w:rPr>
            </w:pPr>
            <w:r w:rsidRPr="00FD259D">
              <w:rPr>
                <w:rFonts w:ascii="Arial Narrow" w:hAnsi="Arial Narrow" w:cs="Arial"/>
                <w:b/>
              </w:rPr>
              <w:t>Contratación Administrativa</w:t>
            </w:r>
          </w:p>
          <w:p w14:paraId="0244402E" w14:textId="2AACF463" w:rsidR="00AC69AB" w:rsidRPr="00991632" w:rsidRDefault="00910B5C" w:rsidP="00FD259D">
            <w:pPr>
              <w:spacing w:after="0" w:line="360" w:lineRule="auto"/>
              <w:jc w:val="both"/>
              <w:rPr>
                <w:rFonts w:ascii="Arial Narrow" w:hAnsi="Arial Narrow" w:cs="Arial"/>
                <w:b/>
              </w:rPr>
            </w:pPr>
            <w:r w:rsidRPr="00910B5C">
              <w:rPr>
                <w:rFonts w:ascii="Arial Narrow" w:hAnsi="Arial Narrow" w:cs="Arial"/>
                <w:b/>
                <w:bCs/>
              </w:rPr>
              <w:t xml:space="preserve"> </w:t>
            </w:r>
          </w:p>
        </w:tc>
      </w:tr>
      <w:tr w:rsidR="00C37F99" w:rsidRPr="004159A2" w14:paraId="3E2E3270" w14:textId="77777777" w:rsidTr="0008765E">
        <w:tblPrEx>
          <w:tblCellMar>
            <w:left w:w="70" w:type="dxa"/>
            <w:right w:w="70" w:type="dxa"/>
          </w:tblCellMar>
        </w:tblPrEx>
        <w:trPr>
          <w:trHeight w:val="1408"/>
        </w:trPr>
        <w:tc>
          <w:tcPr>
            <w:tcW w:w="9678" w:type="dxa"/>
            <w:gridSpan w:val="2"/>
          </w:tcPr>
          <w:p w14:paraId="7628EC98" w14:textId="77777777" w:rsidR="0062784C" w:rsidRPr="004159A2" w:rsidRDefault="0062784C" w:rsidP="0029425F">
            <w:pPr>
              <w:tabs>
                <w:tab w:val="left" w:pos="3564"/>
              </w:tabs>
              <w:spacing w:after="0" w:line="240" w:lineRule="auto"/>
              <w:jc w:val="both"/>
              <w:rPr>
                <w:rFonts w:ascii="Arial" w:hAnsi="Arial" w:cs="Arial"/>
                <w:sz w:val="16"/>
                <w:szCs w:val="16"/>
              </w:rPr>
            </w:pPr>
          </w:p>
          <w:p w14:paraId="781E8933" w14:textId="217A1717" w:rsidR="00C37F99" w:rsidRPr="004159A2" w:rsidRDefault="005D7137" w:rsidP="0029425F">
            <w:pPr>
              <w:spacing w:after="0" w:line="240" w:lineRule="auto"/>
              <w:jc w:val="both"/>
              <w:rPr>
                <w:rFonts w:ascii="Arial Narrow" w:hAnsi="Arial Narrow" w:cs="Arial"/>
                <w:b/>
              </w:rPr>
            </w:pPr>
            <w:r w:rsidRPr="004159A2">
              <w:rPr>
                <w:rFonts w:ascii="Arial" w:hAnsi="Arial" w:cs="Arial"/>
                <w:b/>
                <w:sz w:val="16"/>
                <w:szCs w:val="16"/>
              </w:rPr>
              <w:t>8.</w:t>
            </w:r>
            <w:r w:rsidR="0046395A" w:rsidRPr="004159A2">
              <w:rPr>
                <w:rFonts w:ascii="Arial" w:hAnsi="Arial" w:cs="Arial"/>
                <w:b/>
                <w:sz w:val="16"/>
                <w:szCs w:val="16"/>
              </w:rPr>
              <w:t xml:space="preserve"> </w:t>
            </w:r>
            <w:r w:rsidR="0046395A" w:rsidRPr="004159A2">
              <w:rPr>
                <w:rFonts w:ascii="Arial Narrow" w:hAnsi="Arial Narrow" w:cs="Arial"/>
                <w:b/>
              </w:rPr>
              <w:t>HALLAZGOS</w:t>
            </w:r>
            <w:r w:rsidR="00C37F99" w:rsidRPr="004159A2">
              <w:rPr>
                <w:rFonts w:ascii="Arial Narrow" w:hAnsi="Arial Narrow" w:cs="Arial"/>
                <w:b/>
              </w:rPr>
              <w:t xml:space="preserve"> Y OPORTUNIDADES DE MEJORA:</w:t>
            </w:r>
          </w:p>
          <w:p w14:paraId="46826BD4" w14:textId="77777777" w:rsidR="00C37F99" w:rsidRPr="004159A2" w:rsidRDefault="00C37F99" w:rsidP="0029425F">
            <w:pPr>
              <w:spacing w:after="0" w:line="240" w:lineRule="auto"/>
              <w:jc w:val="both"/>
              <w:rPr>
                <w:rFonts w:ascii="Arial Narrow" w:hAnsi="Arial Narrow" w:cs="Arial"/>
              </w:rPr>
            </w:pPr>
          </w:p>
          <w:p w14:paraId="16D9CE00" w14:textId="2918EE3D" w:rsidR="008C2EB6" w:rsidRDefault="00C37F99" w:rsidP="0029425F">
            <w:pPr>
              <w:spacing w:after="0" w:line="240" w:lineRule="auto"/>
              <w:jc w:val="both"/>
              <w:rPr>
                <w:rFonts w:ascii="Arial Narrow" w:hAnsi="Arial Narrow" w:cs="Arial"/>
              </w:rPr>
            </w:pPr>
            <w:r w:rsidRPr="004159A2">
              <w:rPr>
                <w:rFonts w:ascii="Arial Narrow" w:hAnsi="Arial Narrow" w:cs="Arial"/>
              </w:rPr>
              <w:t xml:space="preserve">A </w:t>
            </w:r>
            <w:r w:rsidR="0046395A" w:rsidRPr="004159A2">
              <w:rPr>
                <w:rFonts w:ascii="Arial Narrow" w:hAnsi="Arial Narrow" w:cs="Arial"/>
              </w:rPr>
              <w:t>continuación,</w:t>
            </w:r>
            <w:r w:rsidRPr="004159A2">
              <w:rPr>
                <w:rFonts w:ascii="Arial Narrow" w:hAnsi="Arial Narrow" w:cs="Arial"/>
              </w:rPr>
              <w:t xml:space="preserve"> se presentan los res</w:t>
            </w:r>
            <w:r w:rsidR="00CE51D9" w:rsidRPr="004159A2">
              <w:rPr>
                <w:rFonts w:ascii="Arial Narrow" w:hAnsi="Arial Narrow" w:cs="Arial"/>
              </w:rPr>
              <w:t xml:space="preserve">ultados en </w:t>
            </w:r>
            <w:r w:rsidR="00CE51D9" w:rsidRPr="00E73E12">
              <w:rPr>
                <w:rFonts w:ascii="Arial Narrow" w:hAnsi="Arial Narrow" w:cs="Arial"/>
              </w:rPr>
              <w:t>cuanto al número de Hallazgos y Oportunidades de M</w:t>
            </w:r>
            <w:r w:rsidRPr="00E73E12">
              <w:rPr>
                <w:rFonts w:ascii="Arial Narrow" w:hAnsi="Arial Narrow" w:cs="Arial"/>
              </w:rPr>
              <w:t>ejora, que resultaron del ejercicio auditor en los procesos evaluados</w:t>
            </w:r>
            <w:r w:rsidR="005D008A" w:rsidRPr="00E73E12">
              <w:rPr>
                <w:rFonts w:ascii="Arial Narrow" w:hAnsi="Arial Narrow" w:cs="Arial"/>
              </w:rPr>
              <w:t xml:space="preserve"> en el I</w:t>
            </w:r>
            <w:r w:rsidR="00E73E12" w:rsidRPr="00E73E12">
              <w:rPr>
                <w:rFonts w:ascii="Arial Narrow" w:hAnsi="Arial Narrow" w:cs="Arial"/>
              </w:rPr>
              <w:t>I</w:t>
            </w:r>
            <w:r w:rsidR="005D008A" w:rsidRPr="00E73E12">
              <w:rPr>
                <w:rFonts w:ascii="Arial Narrow" w:hAnsi="Arial Narrow" w:cs="Arial"/>
              </w:rPr>
              <w:t xml:space="preserve"> trimestre de 2021:</w:t>
            </w:r>
            <w:r w:rsidRPr="00E73E12">
              <w:rPr>
                <w:rFonts w:ascii="Arial Narrow" w:hAnsi="Arial Narrow" w:cs="Arial"/>
              </w:rPr>
              <w:t xml:space="preserve"> </w:t>
            </w:r>
          </w:p>
          <w:p w14:paraId="574E2A12" w14:textId="77777777" w:rsidR="004159A2" w:rsidRPr="004159A2" w:rsidRDefault="004159A2" w:rsidP="0029425F">
            <w:pPr>
              <w:spacing w:after="0" w:line="240" w:lineRule="auto"/>
              <w:jc w:val="both"/>
              <w:rPr>
                <w:rFonts w:ascii="Arial Narrow" w:hAnsi="Arial Narrow" w:cs="Arial"/>
              </w:rPr>
            </w:pPr>
          </w:p>
          <w:tbl>
            <w:tblPr>
              <w:tblW w:w="6180" w:type="dxa"/>
              <w:jc w:val="center"/>
              <w:tblCellMar>
                <w:left w:w="70" w:type="dxa"/>
                <w:right w:w="70" w:type="dxa"/>
              </w:tblCellMar>
              <w:tblLook w:val="04A0" w:firstRow="1" w:lastRow="0" w:firstColumn="1" w:lastColumn="0" w:noHBand="0" w:noVBand="1"/>
            </w:tblPr>
            <w:tblGrid>
              <w:gridCol w:w="3600"/>
              <w:gridCol w:w="1200"/>
              <w:gridCol w:w="1380"/>
            </w:tblGrid>
            <w:tr w:rsidR="005D008A" w:rsidRPr="005D008A" w14:paraId="539FFCE7" w14:textId="77777777" w:rsidTr="005D008A">
              <w:trPr>
                <w:trHeight w:val="672"/>
                <w:jc w:val="center"/>
              </w:trPr>
              <w:tc>
                <w:tcPr>
                  <w:tcW w:w="3600" w:type="dxa"/>
                  <w:tcBorders>
                    <w:top w:val="single" w:sz="8" w:space="0" w:color="auto"/>
                    <w:left w:val="single" w:sz="8" w:space="0" w:color="auto"/>
                    <w:bottom w:val="single" w:sz="8" w:space="0" w:color="auto"/>
                    <w:right w:val="single" w:sz="4" w:space="0" w:color="000000"/>
                  </w:tcBorders>
                  <w:shd w:val="clear" w:color="000000" w:fill="D6DCE4"/>
                  <w:vAlign w:val="center"/>
                  <w:hideMark/>
                </w:tcPr>
                <w:p w14:paraId="6D4AB238"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PERIODO</w:t>
                  </w:r>
                </w:p>
              </w:tc>
              <w:tc>
                <w:tcPr>
                  <w:tcW w:w="1200" w:type="dxa"/>
                  <w:tcBorders>
                    <w:top w:val="single" w:sz="8" w:space="0" w:color="auto"/>
                    <w:left w:val="nil"/>
                    <w:bottom w:val="single" w:sz="8" w:space="0" w:color="auto"/>
                    <w:right w:val="single" w:sz="4" w:space="0" w:color="auto"/>
                  </w:tcBorders>
                  <w:shd w:val="clear" w:color="000000" w:fill="D6DCE4"/>
                  <w:vAlign w:val="center"/>
                  <w:hideMark/>
                </w:tcPr>
                <w:p w14:paraId="65A3F2F8"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380" w:type="dxa"/>
                  <w:tcBorders>
                    <w:top w:val="single" w:sz="8" w:space="0" w:color="auto"/>
                    <w:left w:val="nil"/>
                    <w:bottom w:val="single" w:sz="8" w:space="0" w:color="auto"/>
                    <w:right w:val="single" w:sz="8" w:space="0" w:color="auto"/>
                  </w:tcBorders>
                  <w:shd w:val="clear" w:color="000000" w:fill="D6DCE4"/>
                  <w:vAlign w:val="center"/>
                  <w:hideMark/>
                </w:tcPr>
                <w:p w14:paraId="5DAD1232"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5D008A" w:rsidRPr="005D008A" w14:paraId="5DF83DFB" w14:textId="77777777" w:rsidTr="005D008A">
              <w:trPr>
                <w:trHeight w:val="484"/>
                <w:jc w:val="center"/>
              </w:trPr>
              <w:tc>
                <w:tcPr>
                  <w:tcW w:w="3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BB6039C" w14:textId="6A6BB39B" w:rsidR="005D008A" w:rsidRPr="005D008A" w:rsidRDefault="00E73E12" w:rsidP="0029425F">
                  <w:pPr>
                    <w:spacing w:after="0" w:line="240"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w:t>
                  </w:r>
                  <w:r w:rsidR="005D008A" w:rsidRPr="005D008A">
                    <w:rPr>
                      <w:rFonts w:ascii="Arial" w:eastAsia="Times New Roman" w:hAnsi="Arial" w:cs="Arial"/>
                      <w:b/>
                      <w:bCs/>
                      <w:color w:val="000000"/>
                      <w:sz w:val="16"/>
                      <w:szCs w:val="16"/>
                      <w:lang w:val="es-CO" w:eastAsia="es-CO"/>
                    </w:rPr>
                    <w:t>I TRIMESTRE 202</w:t>
                  </w:r>
                  <w:r w:rsidR="005D008A" w:rsidRPr="004159A2">
                    <w:rPr>
                      <w:rFonts w:ascii="Arial" w:eastAsia="Times New Roman" w:hAnsi="Arial" w:cs="Arial"/>
                      <w:b/>
                      <w:bCs/>
                      <w:color w:val="000000"/>
                      <w:sz w:val="16"/>
                      <w:szCs w:val="16"/>
                      <w:lang w:val="es-CO" w:eastAsia="es-CO"/>
                    </w:rPr>
                    <w:t>1</w:t>
                  </w:r>
                </w:p>
              </w:tc>
              <w:tc>
                <w:tcPr>
                  <w:tcW w:w="1200" w:type="dxa"/>
                  <w:tcBorders>
                    <w:top w:val="nil"/>
                    <w:left w:val="nil"/>
                    <w:bottom w:val="single" w:sz="8" w:space="0" w:color="auto"/>
                    <w:right w:val="single" w:sz="4" w:space="0" w:color="auto"/>
                  </w:tcBorders>
                  <w:shd w:val="clear" w:color="000000" w:fill="FFFFFF"/>
                  <w:vAlign w:val="center"/>
                  <w:hideMark/>
                </w:tcPr>
                <w:p w14:paraId="50B53B68" w14:textId="552EB2A3" w:rsidR="005D008A" w:rsidRPr="005D008A" w:rsidRDefault="00E73E12" w:rsidP="0029425F">
                  <w:pPr>
                    <w:spacing w:after="0" w:line="240"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1380" w:type="dxa"/>
                  <w:tcBorders>
                    <w:top w:val="nil"/>
                    <w:left w:val="nil"/>
                    <w:bottom w:val="single" w:sz="8" w:space="0" w:color="auto"/>
                    <w:right w:val="single" w:sz="8" w:space="0" w:color="auto"/>
                  </w:tcBorders>
                  <w:shd w:val="clear" w:color="000000" w:fill="FFFFFF"/>
                  <w:vAlign w:val="center"/>
                  <w:hideMark/>
                </w:tcPr>
                <w:p w14:paraId="53B4E669" w14:textId="062A6471" w:rsidR="005D008A" w:rsidRPr="005D008A" w:rsidRDefault="00E73E12" w:rsidP="0029425F">
                  <w:pPr>
                    <w:spacing w:after="0" w:line="240" w:lineRule="auto"/>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w:t>
                  </w:r>
                </w:p>
              </w:tc>
            </w:tr>
          </w:tbl>
          <w:p w14:paraId="15FBF086" w14:textId="7D4713A7" w:rsidR="00197F30" w:rsidRPr="004159A2" w:rsidRDefault="00197F30" w:rsidP="0029425F">
            <w:pPr>
              <w:spacing w:after="0" w:line="240" w:lineRule="auto"/>
              <w:jc w:val="both"/>
              <w:rPr>
                <w:rFonts w:ascii="Arial" w:hAnsi="Arial" w:cs="Arial"/>
                <w:sz w:val="16"/>
                <w:szCs w:val="16"/>
              </w:rPr>
            </w:pPr>
          </w:p>
          <w:p w14:paraId="46EB5002" w14:textId="77777777" w:rsidR="00F424BA" w:rsidRPr="004159A2" w:rsidRDefault="00F424BA" w:rsidP="0029425F">
            <w:pPr>
              <w:spacing w:after="0" w:line="240" w:lineRule="auto"/>
              <w:rPr>
                <w:rFonts w:ascii="Arial" w:hAnsi="Arial" w:cs="Arial"/>
                <w:sz w:val="16"/>
                <w:szCs w:val="16"/>
              </w:rPr>
            </w:pPr>
          </w:p>
          <w:p w14:paraId="4D1393D2" w14:textId="326F7448" w:rsidR="00C37F99" w:rsidRPr="00E73E12" w:rsidRDefault="00E73E12" w:rsidP="0029425F">
            <w:pPr>
              <w:spacing w:after="0" w:line="240" w:lineRule="auto"/>
              <w:jc w:val="both"/>
              <w:rPr>
                <w:rFonts w:ascii="Arial Narrow" w:hAnsi="Arial Narrow" w:cs="Arial"/>
              </w:rPr>
            </w:pPr>
            <w:r>
              <w:rPr>
                <w:rFonts w:ascii="Arial Narrow" w:hAnsi="Arial Narrow" w:cs="Arial"/>
              </w:rPr>
              <w:t>Al momento d</w:t>
            </w:r>
            <w:r w:rsidRPr="00E73E12">
              <w:rPr>
                <w:rFonts w:ascii="Arial Narrow" w:hAnsi="Arial Narrow" w:cs="Arial"/>
              </w:rPr>
              <w:t>e realizar la revisión</w:t>
            </w:r>
            <w:r>
              <w:rPr>
                <w:rFonts w:ascii="Arial Narrow" w:hAnsi="Arial Narrow" w:cs="Arial"/>
              </w:rPr>
              <w:t xml:space="preserve">, se evidenciaron </w:t>
            </w:r>
            <w:r w:rsidRPr="00E73E12">
              <w:rPr>
                <w:rFonts w:ascii="Arial Narrow" w:hAnsi="Arial Narrow" w:cs="Arial"/>
              </w:rPr>
              <w:t xml:space="preserve"> </w:t>
            </w:r>
            <w:r w:rsidRPr="00E73E12">
              <w:rPr>
                <w:rFonts w:ascii="Arial Narrow" w:hAnsi="Arial Narrow" w:cs="Arial"/>
                <w:b/>
              </w:rPr>
              <w:t>nuevo</w:t>
            </w:r>
            <w:r w:rsidR="008344FE" w:rsidRPr="00E73E12">
              <w:rPr>
                <w:rFonts w:ascii="Arial Narrow" w:hAnsi="Arial Narrow" w:cs="Arial"/>
                <w:b/>
                <w:bCs/>
              </w:rPr>
              <w:t xml:space="preserve"> </w:t>
            </w:r>
            <w:r w:rsidR="00F424BA" w:rsidRPr="00E73E12">
              <w:rPr>
                <w:rFonts w:ascii="Arial Narrow" w:hAnsi="Arial Narrow" w:cs="Arial"/>
                <w:b/>
                <w:bCs/>
              </w:rPr>
              <w:t xml:space="preserve"> </w:t>
            </w:r>
            <w:r w:rsidR="00B01E91" w:rsidRPr="00E73E12">
              <w:rPr>
                <w:rFonts w:ascii="Arial Narrow" w:hAnsi="Arial Narrow" w:cs="Arial"/>
                <w:b/>
                <w:bCs/>
              </w:rPr>
              <w:t>(</w:t>
            </w:r>
            <w:r w:rsidRPr="00E73E12">
              <w:rPr>
                <w:rFonts w:ascii="Arial Narrow" w:hAnsi="Arial Narrow" w:cs="Arial"/>
                <w:b/>
                <w:bCs/>
              </w:rPr>
              <w:t>9</w:t>
            </w:r>
            <w:r w:rsidR="00C37F99" w:rsidRPr="00E73E12">
              <w:rPr>
                <w:rFonts w:ascii="Arial Narrow" w:hAnsi="Arial Narrow" w:cs="Arial"/>
                <w:b/>
                <w:bCs/>
              </w:rPr>
              <w:t xml:space="preserve">) </w:t>
            </w:r>
            <w:r w:rsidR="00050E7D" w:rsidRPr="00E73E12">
              <w:rPr>
                <w:rFonts w:ascii="Arial Narrow" w:hAnsi="Arial Narrow" w:cs="Arial"/>
                <w:b/>
                <w:bCs/>
              </w:rPr>
              <w:t>H</w:t>
            </w:r>
            <w:r w:rsidR="00C37F99" w:rsidRPr="00E73E12">
              <w:rPr>
                <w:rFonts w:ascii="Arial Narrow" w:hAnsi="Arial Narrow" w:cs="Arial"/>
                <w:b/>
                <w:bCs/>
              </w:rPr>
              <w:t>alla</w:t>
            </w:r>
            <w:r w:rsidR="00050E7D" w:rsidRPr="00E73E12">
              <w:rPr>
                <w:rFonts w:ascii="Arial Narrow" w:hAnsi="Arial Narrow" w:cs="Arial"/>
                <w:b/>
                <w:bCs/>
              </w:rPr>
              <w:t>zgos y</w:t>
            </w:r>
            <w:r w:rsidRPr="00E73E12">
              <w:rPr>
                <w:rFonts w:ascii="Arial Narrow" w:hAnsi="Arial Narrow" w:cs="Arial"/>
                <w:b/>
                <w:bCs/>
              </w:rPr>
              <w:t xml:space="preserve"> cuatro</w:t>
            </w:r>
            <w:r w:rsidR="00050E7D" w:rsidRPr="00E73E12">
              <w:rPr>
                <w:rFonts w:ascii="Arial Narrow" w:hAnsi="Arial Narrow" w:cs="Arial"/>
                <w:b/>
                <w:bCs/>
              </w:rPr>
              <w:t xml:space="preserve"> </w:t>
            </w:r>
            <w:r w:rsidR="00C37F99" w:rsidRPr="00E73E12">
              <w:rPr>
                <w:rFonts w:ascii="Arial Narrow" w:hAnsi="Arial Narrow" w:cs="Arial"/>
                <w:b/>
                <w:bCs/>
              </w:rPr>
              <w:t>(</w:t>
            </w:r>
            <w:r w:rsidRPr="00E73E12">
              <w:rPr>
                <w:rFonts w:ascii="Arial Narrow" w:hAnsi="Arial Narrow" w:cs="Arial"/>
                <w:b/>
                <w:bCs/>
              </w:rPr>
              <w:t>4</w:t>
            </w:r>
            <w:r w:rsidR="00C37F99" w:rsidRPr="00E73E12">
              <w:rPr>
                <w:rFonts w:ascii="Arial Narrow" w:hAnsi="Arial Narrow" w:cs="Arial"/>
                <w:b/>
                <w:bCs/>
              </w:rPr>
              <w:t xml:space="preserve">) </w:t>
            </w:r>
            <w:r w:rsidR="00050E7D" w:rsidRPr="00E73E12">
              <w:rPr>
                <w:rFonts w:ascii="Arial Narrow" w:hAnsi="Arial Narrow" w:cs="Arial"/>
                <w:b/>
                <w:bCs/>
              </w:rPr>
              <w:t>O</w:t>
            </w:r>
            <w:r w:rsidR="00C37F99" w:rsidRPr="00E73E12">
              <w:rPr>
                <w:rFonts w:ascii="Arial Narrow" w:hAnsi="Arial Narrow" w:cs="Arial"/>
                <w:b/>
                <w:bCs/>
              </w:rPr>
              <w:t>portunidad</w:t>
            </w:r>
            <w:r w:rsidR="00F424BA" w:rsidRPr="00E73E12">
              <w:rPr>
                <w:rFonts w:ascii="Arial Narrow" w:hAnsi="Arial Narrow" w:cs="Arial"/>
                <w:b/>
                <w:bCs/>
              </w:rPr>
              <w:t>es</w:t>
            </w:r>
            <w:r w:rsidR="00C37F99" w:rsidRPr="00E73E12">
              <w:rPr>
                <w:rFonts w:ascii="Arial Narrow" w:hAnsi="Arial Narrow" w:cs="Arial"/>
                <w:b/>
                <w:bCs/>
              </w:rPr>
              <w:t xml:space="preserve"> de</w:t>
            </w:r>
            <w:r w:rsidR="00C37F99" w:rsidRPr="00E73E12">
              <w:rPr>
                <w:rFonts w:ascii="Arial Narrow" w:hAnsi="Arial Narrow" w:cs="Arial"/>
                <w:b/>
              </w:rPr>
              <w:t xml:space="preserve"> </w:t>
            </w:r>
            <w:r w:rsidR="00050E7D" w:rsidRPr="00E73E12">
              <w:rPr>
                <w:rFonts w:ascii="Arial Narrow" w:hAnsi="Arial Narrow" w:cs="Arial"/>
                <w:b/>
              </w:rPr>
              <w:t>M</w:t>
            </w:r>
            <w:r w:rsidR="00C37F99" w:rsidRPr="00E73E12">
              <w:rPr>
                <w:rFonts w:ascii="Arial Narrow" w:hAnsi="Arial Narrow" w:cs="Arial"/>
                <w:b/>
              </w:rPr>
              <w:t>ejora</w:t>
            </w:r>
            <w:r w:rsidR="00C37F99" w:rsidRPr="00E73E12">
              <w:rPr>
                <w:rFonts w:ascii="Arial Narrow" w:hAnsi="Arial Narrow" w:cs="Arial"/>
              </w:rPr>
              <w:t xml:space="preserve"> </w:t>
            </w:r>
            <w:r w:rsidR="00050E7D" w:rsidRPr="00E73E12">
              <w:rPr>
                <w:rFonts w:ascii="Arial Narrow" w:hAnsi="Arial Narrow" w:cs="Arial"/>
              </w:rPr>
              <w:t>en los</w:t>
            </w:r>
            <w:r w:rsidR="00C37F99" w:rsidRPr="00E73E12">
              <w:rPr>
                <w:rFonts w:ascii="Arial Narrow" w:hAnsi="Arial Narrow" w:cs="Arial"/>
              </w:rPr>
              <w:t xml:space="preserve"> proceso</w:t>
            </w:r>
            <w:r w:rsidR="00050E7D" w:rsidRPr="00E73E12">
              <w:rPr>
                <w:rFonts w:ascii="Arial Narrow" w:hAnsi="Arial Narrow" w:cs="Arial"/>
              </w:rPr>
              <w:t xml:space="preserve">s auditados en el </w:t>
            </w:r>
            <w:r w:rsidRPr="00E73E12">
              <w:rPr>
                <w:rFonts w:ascii="Arial Narrow" w:hAnsi="Arial Narrow" w:cs="Arial"/>
              </w:rPr>
              <w:t>segundo</w:t>
            </w:r>
            <w:r w:rsidR="00F424BA" w:rsidRPr="00E73E12">
              <w:rPr>
                <w:rFonts w:ascii="Arial Narrow" w:hAnsi="Arial Narrow" w:cs="Arial"/>
              </w:rPr>
              <w:t xml:space="preserve"> (I</w:t>
            </w:r>
            <w:r w:rsidRPr="00E73E12">
              <w:rPr>
                <w:rFonts w:ascii="Arial Narrow" w:hAnsi="Arial Narrow" w:cs="Arial"/>
              </w:rPr>
              <w:t>I</w:t>
            </w:r>
            <w:r w:rsidR="00F424BA" w:rsidRPr="00E73E12">
              <w:rPr>
                <w:rFonts w:ascii="Arial Narrow" w:hAnsi="Arial Narrow" w:cs="Arial"/>
              </w:rPr>
              <w:t xml:space="preserve">) </w:t>
            </w:r>
            <w:r w:rsidR="00050E7D" w:rsidRPr="00E73E12">
              <w:rPr>
                <w:rFonts w:ascii="Arial Narrow" w:hAnsi="Arial Narrow" w:cs="Arial"/>
              </w:rPr>
              <w:t xml:space="preserve">trimestre </w:t>
            </w:r>
            <w:r w:rsidR="00AF34EC" w:rsidRPr="00E73E12">
              <w:rPr>
                <w:rFonts w:ascii="Arial Narrow" w:hAnsi="Arial Narrow" w:cs="Arial"/>
              </w:rPr>
              <w:t>del</w:t>
            </w:r>
            <w:r w:rsidR="009A6C8E" w:rsidRPr="00E73E12">
              <w:rPr>
                <w:rFonts w:ascii="Arial Narrow" w:hAnsi="Arial Narrow" w:cs="Arial"/>
              </w:rPr>
              <w:t xml:space="preserve"> año</w:t>
            </w:r>
            <w:r w:rsidR="00AF34EC" w:rsidRPr="00E73E12">
              <w:rPr>
                <w:rFonts w:ascii="Arial Narrow" w:hAnsi="Arial Narrow" w:cs="Arial"/>
              </w:rPr>
              <w:t xml:space="preserve"> 20</w:t>
            </w:r>
            <w:r w:rsidR="00F424BA" w:rsidRPr="00E73E12">
              <w:rPr>
                <w:rFonts w:ascii="Arial Narrow" w:hAnsi="Arial Narrow" w:cs="Arial"/>
              </w:rPr>
              <w:t>2</w:t>
            </w:r>
            <w:r w:rsidR="005D008A" w:rsidRPr="00E73E12">
              <w:rPr>
                <w:rFonts w:ascii="Arial Narrow" w:hAnsi="Arial Narrow" w:cs="Arial"/>
              </w:rPr>
              <w:t>1</w:t>
            </w:r>
            <w:r w:rsidR="00AF34EC" w:rsidRPr="00E73E12">
              <w:rPr>
                <w:rFonts w:ascii="Arial Narrow" w:hAnsi="Arial Narrow" w:cs="Arial"/>
              </w:rPr>
              <w:t xml:space="preserve">, </w:t>
            </w:r>
            <w:r w:rsidR="00050E7D" w:rsidRPr="00E73E12">
              <w:rPr>
                <w:rFonts w:ascii="Arial Narrow" w:hAnsi="Arial Narrow" w:cs="Arial"/>
              </w:rPr>
              <w:t>lo</w:t>
            </w:r>
            <w:r w:rsidR="001F56B0" w:rsidRPr="00E73E12">
              <w:rPr>
                <w:rFonts w:ascii="Arial Narrow" w:hAnsi="Arial Narrow" w:cs="Arial"/>
              </w:rPr>
              <w:t xml:space="preserve">s cuales se encuentran  establecidos según el proceso así: </w:t>
            </w:r>
          </w:p>
          <w:p w14:paraId="49854F3C" w14:textId="79FBE2F8" w:rsidR="00F424BA" w:rsidRPr="00CB4D6B" w:rsidRDefault="00F424BA" w:rsidP="0029425F">
            <w:pPr>
              <w:spacing w:after="0" w:line="240" w:lineRule="auto"/>
              <w:jc w:val="both"/>
              <w:rPr>
                <w:rFonts w:ascii="Arial" w:hAnsi="Arial" w:cs="Arial"/>
                <w:color w:val="FF0000"/>
                <w:sz w:val="16"/>
                <w:szCs w:val="16"/>
              </w:rPr>
            </w:pPr>
          </w:p>
          <w:p w14:paraId="4F3F3A08" w14:textId="47A21B26" w:rsidR="004159A2" w:rsidRDefault="004159A2" w:rsidP="0029425F">
            <w:pPr>
              <w:spacing w:after="0" w:line="240" w:lineRule="auto"/>
              <w:jc w:val="both"/>
              <w:rPr>
                <w:rFonts w:ascii="Arial" w:hAnsi="Arial" w:cs="Arial"/>
                <w:sz w:val="16"/>
                <w:szCs w:val="16"/>
              </w:rPr>
            </w:pPr>
          </w:p>
          <w:p w14:paraId="30F85D44" w14:textId="3745DFEC" w:rsidR="004159A2" w:rsidRDefault="004159A2" w:rsidP="0029425F">
            <w:pPr>
              <w:spacing w:after="0" w:line="240" w:lineRule="auto"/>
              <w:jc w:val="both"/>
              <w:rPr>
                <w:rFonts w:ascii="Arial" w:hAnsi="Arial" w:cs="Arial"/>
                <w:sz w:val="16"/>
                <w:szCs w:val="16"/>
              </w:rPr>
            </w:pPr>
          </w:p>
          <w:p w14:paraId="0EAC2453" w14:textId="7CFA317B" w:rsidR="004159A2" w:rsidRDefault="004159A2" w:rsidP="0029425F">
            <w:pPr>
              <w:spacing w:after="0" w:line="240" w:lineRule="auto"/>
              <w:jc w:val="both"/>
              <w:rPr>
                <w:rFonts w:ascii="Arial" w:hAnsi="Arial" w:cs="Arial"/>
                <w:sz w:val="16"/>
                <w:szCs w:val="16"/>
              </w:rPr>
            </w:pPr>
          </w:p>
          <w:tbl>
            <w:tblPr>
              <w:tblW w:w="6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5"/>
              <w:gridCol w:w="1157"/>
              <w:gridCol w:w="1504"/>
            </w:tblGrid>
            <w:tr w:rsidR="00E73E12" w:rsidRPr="00E73E12" w14:paraId="247D61B7" w14:textId="77777777" w:rsidTr="00E73E12">
              <w:trPr>
                <w:trHeight w:val="236"/>
                <w:jc w:val="center"/>
              </w:trPr>
              <w:tc>
                <w:tcPr>
                  <w:tcW w:w="6296" w:type="dxa"/>
                  <w:gridSpan w:val="3"/>
                  <w:shd w:val="clear" w:color="auto" w:fill="DEEAF6" w:themeFill="accent1" w:themeFillTint="33"/>
                  <w:vAlign w:val="center"/>
                  <w:hideMark/>
                </w:tcPr>
                <w:p w14:paraId="2D1F4A98" w14:textId="77777777" w:rsidR="00E73E12" w:rsidRPr="00E73E12" w:rsidRDefault="00E73E12" w:rsidP="00E73E12">
                  <w:pPr>
                    <w:spacing w:after="0" w:line="240" w:lineRule="auto"/>
                    <w:jc w:val="center"/>
                    <w:rPr>
                      <w:rFonts w:ascii="Arial" w:eastAsia="Times New Roman" w:hAnsi="Arial" w:cs="Arial"/>
                      <w:b/>
                      <w:bCs/>
                      <w:color w:val="000000"/>
                      <w:lang w:val="es-419" w:eastAsia="es-419"/>
                    </w:rPr>
                  </w:pPr>
                  <w:r w:rsidRPr="00E73E12">
                    <w:rPr>
                      <w:rFonts w:ascii="Arial" w:eastAsia="Times New Roman" w:hAnsi="Arial" w:cs="Arial"/>
                      <w:b/>
                      <w:bCs/>
                      <w:color w:val="000000"/>
                      <w:lang w:val="es-419" w:eastAsia="es-419"/>
                    </w:rPr>
                    <w:t xml:space="preserve">AUDITORÍAS INTERNAS DE GESTIÓN Y CALIDAD                                                                                                               </w:t>
                  </w:r>
                </w:p>
              </w:tc>
            </w:tr>
            <w:tr w:rsidR="00E73E12" w:rsidRPr="00E73E12" w14:paraId="08ED754F" w14:textId="77777777" w:rsidTr="00E73E12">
              <w:trPr>
                <w:trHeight w:val="334"/>
                <w:jc w:val="center"/>
              </w:trPr>
              <w:tc>
                <w:tcPr>
                  <w:tcW w:w="6296" w:type="dxa"/>
                  <w:gridSpan w:val="3"/>
                  <w:shd w:val="clear" w:color="auto" w:fill="DEEAF6" w:themeFill="accent1" w:themeFillTint="33"/>
                  <w:vAlign w:val="center"/>
                  <w:hideMark/>
                </w:tcPr>
                <w:p w14:paraId="791A81AB" w14:textId="77777777" w:rsidR="00E73E12" w:rsidRPr="00E73E12" w:rsidRDefault="00E73E12" w:rsidP="00E73E12">
                  <w:pPr>
                    <w:spacing w:after="0" w:line="240" w:lineRule="auto"/>
                    <w:jc w:val="center"/>
                    <w:rPr>
                      <w:rFonts w:ascii="Arial" w:eastAsia="Times New Roman" w:hAnsi="Arial" w:cs="Arial"/>
                      <w:b/>
                      <w:bCs/>
                      <w:color w:val="000000"/>
                      <w:lang w:val="es-419" w:eastAsia="es-419"/>
                    </w:rPr>
                  </w:pPr>
                  <w:r w:rsidRPr="00E73E12">
                    <w:rPr>
                      <w:rFonts w:ascii="Arial" w:eastAsia="Times New Roman" w:hAnsi="Arial" w:cs="Arial"/>
                      <w:b/>
                      <w:bCs/>
                      <w:color w:val="000000"/>
                      <w:lang w:val="es-419" w:eastAsia="es-419"/>
                    </w:rPr>
                    <w:t>SEGUNDO TRIMESTRE DEL 2021</w:t>
                  </w:r>
                </w:p>
              </w:tc>
            </w:tr>
            <w:tr w:rsidR="00E73E12" w:rsidRPr="00E73E12" w14:paraId="4E49FFFA" w14:textId="77777777" w:rsidTr="00E73E12">
              <w:trPr>
                <w:trHeight w:val="561"/>
                <w:jc w:val="center"/>
              </w:trPr>
              <w:tc>
                <w:tcPr>
                  <w:tcW w:w="3635" w:type="dxa"/>
                  <w:shd w:val="clear" w:color="000000" w:fill="D6DCE4"/>
                  <w:vAlign w:val="center"/>
                  <w:hideMark/>
                </w:tcPr>
                <w:p w14:paraId="18BA18AA" w14:textId="77777777" w:rsidR="00E73E12" w:rsidRPr="00E73E12" w:rsidRDefault="00E73E12" w:rsidP="00E73E12">
                  <w:pPr>
                    <w:spacing w:after="0" w:line="240" w:lineRule="auto"/>
                    <w:jc w:val="center"/>
                    <w:rPr>
                      <w:rFonts w:ascii="Arial" w:eastAsia="Times New Roman" w:hAnsi="Arial" w:cs="Arial"/>
                      <w:b/>
                      <w:bCs/>
                      <w:sz w:val="18"/>
                      <w:szCs w:val="18"/>
                      <w:lang w:val="es-419" w:eastAsia="es-419"/>
                    </w:rPr>
                  </w:pPr>
                  <w:r w:rsidRPr="00E73E12">
                    <w:rPr>
                      <w:rFonts w:ascii="Arial" w:eastAsia="Times New Roman" w:hAnsi="Arial" w:cs="Arial"/>
                      <w:b/>
                      <w:bCs/>
                      <w:sz w:val="18"/>
                      <w:szCs w:val="18"/>
                      <w:lang w:val="es-419" w:eastAsia="es-419"/>
                    </w:rPr>
                    <w:t>PROCESOS</w:t>
                  </w:r>
                </w:p>
              </w:tc>
              <w:tc>
                <w:tcPr>
                  <w:tcW w:w="1157" w:type="dxa"/>
                  <w:shd w:val="clear" w:color="000000" w:fill="D6DCE4"/>
                  <w:vAlign w:val="center"/>
                  <w:hideMark/>
                </w:tcPr>
                <w:p w14:paraId="3650F7BE" w14:textId="77777777" w:rsidR="00E73E12" w:rsidRPr="00E73E12" w:rsidRDefault="00E73E12" w:rsidP="00E73E12">
                  <w:pPr>
                    <w:spacing w:after="0" w:line="240" w:lineRule="auto"/>
                    <w:jc w:val="center"/>
                    <w:rPr>
                      <w:rFonts w:ascii="Arial" w:eastAsia="Times New Roman" w:hAnsi="Arial" w:cs="Arial"/>
                      <w:b/>
                      <w:bCs/>
                      <w:sz w:val="18"/>
                      <w:szCs w:val="18"/>
                      <w:lang w:val="es-419" w:eastAsia="es-419"/>
                    </w:rPr>
                  </w:pPr>
                  <w:r w:rsidRPr="00E73E12">
                    <w:rPr>
                      <w:rFonts w:ascii="Arial" w:eastAsia="Times New Roman" w:hAnsi="Arial" w:cs="Arial"/>
                      <w:b/>
                      <w:bCs/>
                      <w:sz w:val="18"/>
                      <w:szCs w:val="18"/>
                      <w:lang w:val="es-419" w:eastAsia="es-419"/>
                    </w:rPr>
                    <w:t>HALLAZGO</w:t>
                  </w:r>
                </w:p>
              </w:tc>
              <w:tc>
                <w:tcPr>
                  <w:tcW w:w="1502" w:type="dxa"/>
                  <w:shd w:val="clear" w:color="000000" w:fill="D6DCE4"/>
                  <w:vAlign w:val="center"/>
                  <w:hideMark/>
                </w:tcPr>
                <w:p w14:paraId="5B3D0086" w14:textId="77777777" w:rsidR="00E73E12" w:rsidRPr="00E73E12" w:rsidRDefault="00E73E12" w:rsidP="00E73E12">
                  <w:pPr>
                    <w:spacing w:after="0" w:line="240" w:lineRule="auto"/>
                    <w:jc w:val="center"/>
                    <w:rPr>
                      <w:rFonts w:ascii="Arial" w:eastAsia="Times New Roman" w:hAnsi="Arial" w:cs="Arial"/>
                      <w:b/>
                      <w:bCs/>
                      <w:sz w:val="18"/>
                      <w:szCs w:val="18"/>
                      <w:lang w:val="es-419" w:eastAsia="es-419"/>
                    </w:rPr>
                  </w:pPr>
                  <w:r w:rsidRPr="00E73E12">
                    <w:rPr>
                      <w:rFonts w:ascii="Arial" w:eastAsia="Times New Roman" w:hAnsi="Arial" w:cs="Arial"/>
                      <w:b/>
                      <w:bCs/>
                      <w:sz w:val="18"/>
                      <w:szCs w:val="18"/>
                      <w:lang w:val="es-419" w:eastAsia="es-419"/>
                    </w:rPr>
                    <w:t>OPORTUNIDAD DE MEJORA</w:t>
                  </w:r>
                </w:p>
              </w:tc>
            </w:tr>
            <w:tr w:rsidR="00E73E12" w:rsidRPr="00E73E12" w14:paraId="5D2B9141" w14:textId="77777777" w:rsidTr="00E73E12">
              <w:trPr>
                <w:trHeight w:val="453"/>
                <w:jc w:val="center"/>
              </w:trPr>
              <w:tc>
                <w:tcPr>
                  <w:tcW w:w="3635" w:type="dxa"/>
                  <w:shd w:val="clear" w:color="auto" w:fill="auto"/>
                  <w:vAlign w:val="center"/>
                  <w:hideMark/>
                </w:tcPr>
                <w:p w14:paraId="07EDF7DC"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Visitas a Entes Vigilados</w:t>
                  </w:r>
                </w:p>
              </w:tc>
              <w:tc>
                <w:tcPr>
                  <w:tcW w:w="1157" w:type="dxa"/>
                  <w:shd w:val="clear" w:color="auto" w:fill="auto"/>
                  <w:vAlign w:val="center"/>
                  <w:hideMark/>
                </w:tcPr>
                <w:p w14:paraId="4F4A64D3"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1</w:t>
                  </w:r>
                </w:p>
              </w:tc>
              <w:tc>
                <w:tcPr>
                  <w:tcW w:w="1502" w:type="dxa"/>
                  <w:shd w:val="clear" w:color="auto" w:fill="auto"/>
                  <w:vAlign w:val="center"/>
                  <w:hideMark/>
                </w:tcPr>
                <w:p w14:paraId="740ACB71"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0</w:t>
                  </w:r>
                </w:p>
              </w:tc>
            </w:tr>
            <w:tr w:rsidR="00E73E12" w:rsidRPr="00E73E12" w14:paraId="3F99E4B4" w14:textId="77777777" w:rsidTr="00E73E12">
              <w:trPr>
                <w:trHeight w:val="453"/>
                <w:jc w:val="center"/>
              </w:trPr>
              <w:tc>
                <w:tcPr>
                  <w:tcW w:w="3635" w:type="dxa"/>
                  <w:shd w:val="clear" w:color="auto" w:fill="auto"/>
                  <w:vAlign w:val="center"/>
                  <w:hideMark/>
                </w:tcPr>
                <w:p w14:paraId="6B705755"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Control Financiero Contable de las CCF.</w:t>
                  </w:r>
                </w:p>
              </w:tc>
              <w:tc>
                <w:tcPr>
                  <w:tcW w:w="1157" w:type="dxa"/>
                  <w:shd w:val="clear" w:color="auto" w:fill="auto"/>
                  <w:vAlign w:val="center"/>
                  <w:hideMark/>
                </w:tcPr>
                <w:p w14:paraId="4FD34739"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0</w:t>
                  </w:r>
                </w:p>
              </w:tc>
              <w:tc>
                <w:tcPr>
                  <w:tcW w:w="1502" w:type="dxa"/>
                  <w:shd w:val="clear" w:color="auto" w:fill="auto"/>
                  <w:vAlign w:val="center"/>
                  <w:hideMark/>
                </w:tcPr>
                <w:p w14:paraId="77602C8C"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0</w:t>
                  </w:r>
                </w:p>
              </w:tc>
            </w:tr>
            <w:tr w:rsidR="00E73E12" w:rsidRPr="00E73E12" w14:paraId="1818F5C4" w14:textId="77777777" w:rsidTr="00E73E12">
              <w:trPr>
                <w:trHeight w:val="453"/>
                <w:jc w:val="center"/>
              </w:trPr>
              <w:tc>
                <w:tcPr>
                  <w:tcW w:w="3635" w:type="dxa"/>
                  <w:shd w:val="clear" w:color="000000" w:fill="FFFFFF"/>
                  <w:vAlign w:val="center"/>
                  <w:hideMark/>
                </w:tcPr>
                <w:p w14:paraId="0DE7B253"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Control Legal de Cajas de Compensación Familiar</w:t>
                  </w:r>
                </w:p>
              </w:tc>
              <w:tc>
                <w:tcPr>
                  <w:tcW w:w="1157" w:type="dxa"/>
                  <w:shd w:val="clear" w:color="auto" w:fill="auto"/>
                  <w:vAlign w:val="center"/>
                  <w:hideMark/>
                </w:tcPr>
                <w:p w14:paraId="0CB0C0F8"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7</w:t>
                  </w:r>
                </w:p>
              </w:tc>
              <w:tc>
                <w:tcPr>
                  <w:tcW w:w="1502" w:type="dxa"/>
                  <w:shd w:val="clear" w:color="auto" w:fill="auto"/>
                  <w:vAlign w:val="center"/>
                  <w:hideMark/>
                </w:tcPr>
                <w:p w14:paraId="73E7A103"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4</w:t>
                  </w:r>
                </w:p>
              </w:tc>
            </w:tr>
            <w:tr w:rsidR="00E73E12" w:rsidRPr="00E73E12" w14:paraId="4CF863DE" w14:textId="77777777" w:rsidTr="00E73E12">
              <w:trPr>
                <w:trHeight w:val="453"/>
                <w:jc w:val="center"/>
              </w:trPr>
              <w:tc>
                <w:tcPr>
                  <w:tcW w:w="3635" w:type="dxa"/>
                  <w:shd w:val="clear" w:color="auto" w:fill="auto"/>
                  <w:vAlign w:val="center"/>
                  <w:hideMark/>
                </w:tcPr>
                <w:p w14:paraId="1099157B"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Gestión de Sistemas de Información Tic</w:t>
                  </w:r>
                </w:p>
              </w:tc>
              <w:tc>
                <w:tcPr>
                  <w:tcW w:w="2660" w:type="dxa"/>
                  <w:gridSpan w:val="2"/>
                  <w:shd w:val="clear" w:color="auto" w:fill="auto"/>
                  <w:vAlign w:val="center"/>
                  <w:hideMark/>
                </w:tcPr>
                <w:p w14:paraId="5BD9C8C7"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En proceso</w:t>
                  </w:r>
                </w:p>
              </w:tc>
            </w:tr>
            <w:tr w:rsidR="00E73E12" w:rsidRPr="00E73E12" w14:paraId="161E37D2" w14:textId="77777777" w:rsidTr="00E73E12">
              <w:trPr>
                <w:trHeight w:val="453"/>
                <w:jc w:val="center"/>
              </w:trPr>
              <w:tc>
                <w:tcPr>
                  <w:tcW w:w="3635" w:type="dxa"/>
                  <w:shd w:val="clear" w:color="auto" w:fill="auto"/>
                  <w:vAlign w:val="center"/>
                  <w:hideMark/>
                </w:tcPr>
                <w:p w14:paraId="701C12DD"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Estudios Especiales y Evaluación de Proyectos</w:t>
                  </w:r>
                </w:p>
              </w:tc>
              <w:tc>
                <w:tcPr>
                  <w:tcW w:w="1157" w:type="dxa"/>
                  <w:shd w:val="clear" w:color="auto" w:fill="auto"/>
                  <w:vAlign w:val="center"/>
                  <w:hideMark/>
                </w:tcPr>
                <w:p w14:paraId="000C929D"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1</w:t>
                  </w:r>
                </w:p>
              </w:tc>
              <w:tc>
                <w:tcPr>
                  <w:tcW w:w="1502" w:type="dxa"/>
                  <w:shd w:val="clear" w:color="auto" w:fill="auto"/>
                  <w:vAlign w:val="center"/>
                  <w:hideMark/>
                </w:tcPr>
                <w:p w14:paraId="7D613AEB"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0</w:t>
                  </w:r>
                </w:p>
              </w:tc>
            </w:tr>
            <w:tr w:rsidR="00E73E12" w:rsidRPr="00E73E12" w14:paraId="2B5E5F4D" w14:textId="77777777" w:rsidTr="00E73E12">
              <w:trPr>
                <w:trHeight w:val="453"/>
                <w:jc w:val="center"/>
              </w:trPr>
              <w:tc>
                <w:tcPr>
                  <w:tcW w:w="3635" w:type="dxa"/>
                  <w:shd w:val="clear" w:color="auto" w:fill="auto"/>
                  <w:vAlign w:val="center"/>
                  <w:hideMark/>
                </w:tcPr>
                <w:p w14:paraId="20502A83" w14:textId="77777777" w:rsidR="00E73E12" w:rsidRPr="00E73E12" w:rsidRDefault="00E73E12" w:rsidP="00E73E12">
                  <w:pPr>
                    <w:spacing w:after="0" w:line="240" w:lineRule="auto"/>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Contratación Administrativa</w:t>
                  </w:r>
                </w:p>
              </w:tc>
              <w:tc>
                <w:tcPr>
                  <w:tcW w:w="2660" w:type="dxa"/>
                  <w:gridSpan w:val="2"/>
                  <w:shd w:val="clear" w:color="auto" w:fill="auto"/>
                  <w:vAlign w:val="center"/>
                  <w:hideMark/>
                </w:tcPr>
                <w:p w14:paraId="3E7BB869" w14:textId="77777777" w:rsidR="00E73E12" w:rsidRPr="00E73E12" w:rsidRDefault="00E73E12" w:rsidP="00E73E12">
                  <w:pPr>
                    <w:spacing w:after="0" w:line="240" w:lineRule="auto"/>
                    <w:jc w:val="center"/>
                    <w:rPr>
                      <w:rFonts w:eastAsia="Times New Roman" w:cs="Calibri"/>
                      <w:color w:val="000000"/>
                      <w:lang w:val="es-419" w:eastAsia="es-419"/>
                    </w:rPr>
                  </w:pPr>
                  <w:r w:rsidRPr="00E73E12">
                    <w:rPr>
                      <w:rFonts w:eastAsia="Times New Roman" w:cs="Calibri"/>
                      <w:color w:val="000000"/>
                      <w:lang w:val="es-419" w:eastAsia="es-419"/>
                    </w:rPr>
                    <w:t>En proceso</w:t>
                  </w:r>
                </w:p>
              </w:tc>
            </w:tr>
            <w:tr w:rsidR="00E73E12" w:rsidRPr="00E73E12" w14:paraId="5107991C" w14:textId="77777777" w:rsidTr="00E73E12">
              <w:trPr>
                <w:trHeight w:val="581"/>
                <w:jc w:val="center"/>
              </w:trPr>
              <w:tc>
                <w:tcPr>
                  <w:tcW w:w="3635" w:type="dxa"/>
                  <w:shd w:val="clear" w:color="000000" w:fill="D6DCE4"/>
                  <w:noWrap/>
                  <w:vAlign w:val="center"/>
                  <w:hideMark/>
                </w:tcPr>
                <w:p w14:paraId="5E7AC791" w14:textId="77777777" w:rsidR="00E73E12" w:rsidRPr="00E73E12" w:rsidRDefault="00E73E12" w:rsidP="00E73E12">
                  <w:pPr>
                    <w:spacing w:after="0" w:line="240" w:lineRule="auto"/>
                    <w:rPr>
                      <w:rFonts w:eastAsia="Times New Roman" w:cs="Calibri"/>
                      <w:b/>
                      <w:bCs/>
                      <w:color w:val="000000"/>
                      <w:lang w:val="es-419" w:eastAsia="es-419"/>
                    </w:rPr>
                  </w:pPr>
                  <w:r w:rsidRPr="00E73E12">
                    <w:rPr>
                      <w:rFonts w:eastAsia="Times New Roman" w:cs="Calibri"/>
                      <w:b/>
                      <w:bCs/>
                      <w:color w:val="000000"/>
                      <w:lang w:val="es-419" w:eastAsia="es-419"/>
                    </w:rPr>
                    <w:t xml:space="preserve">Total </w:t>
                  </w:r>
                </w:p>
              </w:tc>
              <w:tc>
                <w:tcPr>
                  <w:tcW w:w="1157" w:type="dxa"/>
                  <w:shd w:val="clear" w:color="000000" w:fill="D6DCE4"/>
                  <w:vAlign w:val="center"/>
                  <w:hideMark/>
                </w:tcPr>
                <w:p w14:paraId="2746E12A" w14:textId="77777777" w:rsidR="00E73E12" w:rsidRPr="00E73E12" w:rsidRDefault="00E73E12" w:rsidP="00E73E12">
                  <w:pPr>
                    <w:spacing w:after="0" w:line="240" w:lineRule="auto"/>
                    <w:jc w:val="center"/>
                    <w:rPr>
                      <w:rFonts w:eastAsia="Times New Roman" w:cs="Calibri"/>
                      <w:b/>
                      <w:bCs/>
                      <w:color w:val="000000"/>
                      <w:lang w:val="es-419" w:eastAsia="es-419"/>
                    </w:rPr>
                  </w:pPr>
                  <w:r w:rsidRPr="00E73E12">
                    <w:rPr>
                      <w:rFonts w:eastAsia="Times New Roman" w:cs="Calibri"/>
                      <w:b/>
                      <w:bCs/>
                      <w:color w:val="000000"/>
                      <w:lang w:val="es-419" w:eastAsia="es-419"/>
                    </w:rPr>
                    <w:t>9</w:t>
                  </w:r>
                </w:p>
              </w:tc>
              <w:tc>
                <w:tcPr>
                  <w:tcW w:w="1502" w:type="dxa"/>
                  <w:shd w:val="clear" w:color="000000" w:fill="D6DCE4"/>
                  <w:vAlign w:val="center"/>
                  <w:hideMark/>
                </w:tcPr>
                <w:p w14:paraId="6538D9C7" w14:textId="387C2C2D" w:rsidR="00E73E12" w:rsidRPr="00E73E12" w:rsidRDefault="00E73E12" w:rsidP="00E73E12">
                  <w:pPr>
                    <w:spacing w:after="0" w:line="240" w:lineRule="auto"/>
                    <w:jc w:val="center"/>
                    <w:rPr>
                      <w:rFonts w:eastAsia="Times New Roman" w:cs="Calibri"/>
                      <w:b/>
                      <w:bCs/>
                      <w:color w:val="000000"/>
                      <w:lang w:val="es-419" w:eastAsia="es-419"/>
                    </w:rPr>
                  </w:pPr>
                  <w:r w:rsidRPr="00E73E12">
                    <w:rPr>
                      <w:rFonts w:eastAsia="Times New Roman" w:cs="Calibri"/>
                      <w:b/>
                      <w:bCs/>
                      <w:color w:val="000000"/>
                      <w:lang w:val="es-419" w:eastAsia="es-419"/>
                    </w:rPr>
                    <w:t>4</w:t>
                  </w:r>
                </w:p>
              </w:tc>
            </w:tr>
          </w:tbl>
          <w:p w14:paraId="117B039A" w14:textId="7A7839D1" w:rsidR="004159A2" w:rsidRPr="004159A2" w:rsidRDefault="004159A2" w:rsidP="0029425F">
            <w:pPr>
              <w:spacing w:after="0" w:line="240" w:lineRule="auto"/>
              <w:jc w:val="both"/>
              <w:rPr>
                <w:rFonts w:ascii="Arial" w:hAnsi="Arial" w:cs="Arial"/>
                <w:sz w:val="16"/>
                <w:szCs w:val="16"/>
              </w:rPr>
            </w:pPr>
          </w:p>
          <w:p w14:paraId="26C92085" w14:textId="49019D31" w:rsidR="008344FE" w:rsidRPr="004159A2" w:rsidRDefault="008344FE" w:rsidP="0029425F">
            <w:pPr>
              <w:tabs>
                <w:tab w:val="left" w:pos="6810"/>
              </w:tabs>
              <w:spacing w:after="0" w:line="240" w:lineRule="auto"/>
              <w:jc w:val="both"/>
              <w:rPr>
                <w:rFonts w:ascii="Arial" w:hAnsi="Arial" w:cs="Arial"/>
                <w:sz w:val="16"/>
                <w:szCs w:val="16"/>
              </w:rPr>
            </w:pPr>
            <w:r w:rsidRPr="004159A2">
              <w:rPr>
                <w:rFonts w:ascii="Arial" w:hAnsi="Arial" w:cs="Arial"/>
                <w:sz w:val="16"/>
                <w:szCs w:val="16"/>
              </w:rPr>
              <w:tab/>
            </w:r>
          </w:p>
          <w:p w14:paraId="3A40B569" w14:textId="77777777" w:rsidR="00CB4D6B" w:rsidRDefault="00CB4D6B" w:rsidP="0029425F">
            <w:pPr>
              <w:spacing w:after="0" w:line="240" w:lineRule="auto"/>
              <w:jc w:val="both"/>
              <w:rPr>
                <w:rFonts w:ascii="Arial Narrow" w:hAnsi="Arial Narrow" w:cs="Arial"/>
              </w:rPr>
            </w:pPr>
          </w:p>
          <w:p w14:paraId="2C673D51" w14:textId="0E1BF82F" w:rsidR="00F424BA" w:rsidRPr="004159A2" w:rsidRDefault="007E5AEC" w:rsidP="0029425F">
            <w:pPr>
              <w:spacing w:after="0" w:line="240" w:lineRule="auto"/>
              <w:jc w:val="both"/>
              <w:rPr>
                <w:rFonts w:ascii="Arial Narrow" w:eastAsia="Times New Roman" w:hAnsi="Arial Narrow" w:cs="Arial"/>
                <w:b/>
                <w:bCs/>
                <w:color w:val="000000"/>
                <w:lang w:val="es-CO" w:eastAsia="es-CO"/>
              </w:rPr>
            </w:pPr>
            <w:r>
              <w:rPr>
                <w:rFonts w:ascii="Arial Narrow" w:hAnsi="Arial Narrow" w:cs="Arial"/>
              </w:rPr>
              <w:t>Al realizar este informe</w:t>
            </w:r>
            <w:r w:rsidR="005D008A" w:rsidRPr="004159A2">
              <w:rPr>
                <w:rFonts w:ascii="Arial Narrow" w:hAnsi="Arial Narrow" w:cs="Arial"/>
              </w:rPr>
              <w:t xml:space="preserve">, se deja la </w:t>
            </w:r>
            <w:r w:rsidR="004965E5" w:rsidRPr="004159A2">
              <w:rPr>
                <w:rFonts w:ascii="Arial Narrow" w:hAnsi="Arial Narrow" w:cs="Arial"/>
              </w:rPr>
              <w:t>observación</w:t>
            </w:r>
            <w:r w:rsidR="005D008A" w:rsidRPr="004159A2">
              <w:rPr>
                <w:rFonts w:ascii="Arial Narrow" w:hAnsi="Arial Narrow" w:cs="Arial"/>
              </w:rPr>
              <w:t xml:space="preserve"> </w:t>
            </w:r>
            <w:r w:rsidR="00CB4D6B">
              <w:rPr>
                <w:rFonts w:ascii="Arial Narrow" w:hAnsi="Arial Narrow" w:cs="Arial"/>
              </w:rPr>
              <w:t>a los siguientes</w:t>
            </w:r>
            <w:r w:rsidR="00DF2D04" w:rsidRPr="004159A2">
              <w:rPr>
                <w:rFonts w:ascii="Arial Narrow" w:hAnsi="Arial Narrow" w:cs="Arial"/>
              </w:rPr>
              <w:t xml:space="preserve"> </w:t>
            </w:r>
            <w:r w:rsidR="00CB4D6B">
              <w:rPr>
                <w:rFonts w:ascii="Arial Narrow" w:hAnsi="Arial Narrow" w:cs="Arial"/>
              </w:rPr>
              <w:t xml:space="preserve">procesos </w:t>
            </w:r>
            <w:r w:rsidR="00DF2D04" w:rsidRPr="00CB4D6B">
              <w:rPr>
                <w:rFonts w:ascii="Arial Narrow" w:eastAsia="Times New Roman" w:hAnsi="Arial Narrow" w:cs="Arial"/>
                <w:color w:val="000000"/>
                <w:lang w:val="es-CO" w:eastAsia="es-CO"/>
              </w:rPr>
              <w:t>“</w:t>
            </w:r>
            <w:r w:rsidR="00CB4D6B" w:rsidRPr="00CB4D6B">
              <w:rPr>
                <w:rFonts w:ascii="Arial Narrow" w:eastAsia="Times New Roman" w:hAnsi="Arial Narrow" w:cs="Arial"/>
                <w:b/>
                <w:color w:val="000000"/>
                <w:lang w:val="es-CO" w:eastAsia="es-CO"/>
              </w:rPr>
              <w:t>Gestión de Sistemas de Información Tic”</w:t>
            </w:r>
            <w:r w:rsidR="004965E5" w:rsidRPr="00CB4D6B">
              <w:rPr>
                <w:rFonts w:ascii="Arial Narrow" w:eastAsia="Times New Roman" w:hAnsi="Arial Narrow" w:cs="Arial"/>
                <w:b/>
                <w:color w:val="000000"/>
                <w:lang w:val="es-CO" w:eastAsia="es-CO"/>
              </w:rPr>
              <w:t xml:space="preserve"> y “</w:t>
            </w:r>
            <w:r w:rsidR="00CB4D6B" w:rsidRPr="00CB4D6B">
              <w:rPr>
                <w:rFonts w:ascii="Arial Narrow" w:eastAsia="Times New Roman" w:hAnsi="Arial Narrow" w:cs="Arial"/>
                <w:b/>
                <w:color w:val="000000"/>
                <w:lang w:val="es-CO" w:eastAsia="es-CO"/>
              </w:rPr>
              <w:t>Contratación Administrativa</w:t>
            </w:r>
            <w:r w:rsidR="0077618D" w:rsidRPr="00CB4D6B">
              <w:rPr>
                <w:rFonts w:ascii="Arial Narrow" w:eastAsia="Times New Roman" w:hAnsi="Arial Narrow" w:cs="Arial"/>
                <w:b/>
                <w:color w:val="000000"/>
                <w:lang w:val="es-CO" w:eastAsia="es-CO"/>
              </w:rPr>
              <w:t>”</w:t>
            </w:r>
            <w:r w:rsidR="00DF2D04" w:rsidRPr="00CB4D6B">
              <w:rPr>
                <w:rFonts w:ascii="Arial Narrow" w:eastAsia="Times New Roman" w:hAnsi="Arial Narrow" w:cs="Arial"/>
                <w:color w:val="000000"/>
                <w:lang w:val="es-CO" w:eastAsia="es-CO"/>
              </w:rPr>
              <w:t>,</w:t>
            </w:r>
            <w:r w:rsidR="00DF2D04" w:rsidRPr="00CB4D6B">
              <w:rPr>
                <w:rFonts w:ascii="Arial Narrow" w:eastAsia="Times New Roman" w:hAnsi="Arial Narrow" w:cs="Arial"/>
                <w:bCs/>
                <w:color w:val="000000"/>
                <w:lang w:val="es-CO" w:eastAsia="es-CO"/>
              </w:rPr>
              <w:t xml:space="preserve"> </w:t>
            </w:r>
            <w:r w:rsidR="0029425F" w:rsidRPr="00CB4D6B">
              <w:rPr>
                <w:rFonts w:ascii="Arial Narrow" w:eastAsia="Times New Roman" w:hAnsi="Arial Narrow" w:cs="Arial"/>
                <w:color w:val="000000"/>
                <w:lang w:val="es-CO" w:eastAsia="es-CO"/>
              </w:rPr>
              <w:t xml:space="preserve">que </w:t>
            </w:r>
            <w:r w:rsidR="0077618D" w:rsidRPr="00CB4D6B">
              <w:rPr>
                <w:rFonts w:ascii="Arial Narrow" w:eastAsia="Times New Roman" w:hAnsi="Arial Narrow" w:cs="Arial"/>
                <w:color w:val="000000"/>
                <w:lang w:val="es-CO" w:eastAsia="es-CO"/>
              </w:rPr>
              <w:t xml:space="preserve"> </w:t>
            </w:r>
            <w:r w:rsidR="00DF2D04" w:rsidRPr="00CB4D6B">
              <w:rPr>
                <w:rFonts w:ascii="Arial Narrow" w:eastAsia="Times New Roman" w:hAnsi="Arial Narrow" w:cs="Arial"/>
                <w:color w:val="000000"/>
                <w:lang w:val="es-CO" w:eastAsia="es-CO"/>
              </w:rPr>
              <w:t>se enc</w:t>
            </w:r>
            <w:r w:rsidR="0077618D" w:rsidRPr="00CB4D6B">
              <w:rPr>
                <w:rFonts w:ascii="Arial Narrow" w:eastAsia="Times New Roman" w:hAnsi="Arial Narrow" w:cs="Arial"/>
                <w:color w:val="000000"/>
                <w:lang w:val="es-CO" w:eastAsia="es-CO"/>
              </w:rPr>
              <w:t>ue</w:t>
            </w:r>
            <w:r w:rsidR="00DF2D04" w:rsidRPr="00CB4D6B">
              <w:rPr>
                <w:rFonts w:ascii="Arial Narrow" w:eastAsia="Times New Roman" w:hAnsi="Arial Narrow" w:cs="Arial"/>
                <w:color w:val="000000"/>
                <w:lang w:val="es-CO" w:eastAsia="es-CO"/>
              </w:rPr>
              <w:t>ntr</w:t>
            </w:r>
            <w:r w:rsidR="0077618D" w:rsidRPr="00CB4D6B">
              <w:rPr>
                <w:rFonts w:ascii="Arial Narrow" w:eastAsia="Times New Roman" w:hAnsi="Arial Narrow" w:cs="Arial"/>
                <w:color w:val="000000"/>
                <w:lang w:val="es-CO" w:eastAsia="es-CO"/>
              </w:rPr>
              <w:t>an</w:t>
            </w:r>
            <w:r w:rsidR="00DF2D04" w:rsidRPr="00CB4D6B">
              <w:rPr>
                <w:rFonts w:ascii="Arial Narrow" w:eastAsia="Times New Roman" w:hAnsi="Arial Narrow" w:cs="Arial"/>
                <w:color w:val="000000"/>
                <w:lang w:val="es-CO" w:eastAsia="es-CO"/>
              </w:rPr>
              <w:t xml:space="preserve"> en </w:t>
            </w:r>
            <w:r w:rsidR="00CB4D6B">
              <w:rPr>
                <w:rFonts w:ascii="Arial Narrow" w:eastAsia="Times New Roman" w:hAnsi="Arial Narrow" w:cs="Arial"/>
                <w:color w:val="000000"/>
                <w:lang w:val="es-CO" w:eastAsia="es-CO"/>
              </w:rPr>
              <w:t>desarrollo de la auditoria</w:t>
            </w:r>
            <w:r w:rsidR="00DF2D04" w:rsidRPr="00CB4D6B">
              <w:rPr>
                <w:rFonts w:ascii="Arial Narrow" w:eastAsia="Times New Roman" w:hAnsi="Arial Narrow" w:cs="Arial"/>
                <w:color w:val="000000"/>
                <w:lang w:val="es-CO" w:eastAsia="es-CO"/>
              </w:rPr>
              <w:t xml:space="preserve">, por </w:t>
            </w:r>
            <w:r w:rsidR="00A71F74" w:rsidRPr="00CB4D6B">
              <w:rPr>
                <w:rFonts w:ascii="Arial Narrow" w:eastAsia="Times New Roman" w:hAnsi="Arial Narrow" w:cs="Arial"/>
                <w:color w:val="000000"/>
                <w:lang w:val="es-CO" w:eastAsia="es-CO"/>
              </w:rPr>
              <w:t>consiguiente,</w:t>
            </w:r>
            <w:r w:rsidR="00DF2D04" w:rsidRPr="00CB4D6B">
              <w:rPr>
                <w:rFonts w:ascii="Arial Narrow" w:eastAsia="Times New Roman" w:hAnsi="Arial Narrow" w:cs="Arial"/>
                <w:color w:val="000000"/>
                <w:lang w:val="es-CO" w:eastAsia="es-CO"/>
              </w:rPr>
              <w:t xml:space="preserve"> se </w:t>
            </w:r>
            <w:r w:rsidR="0029425F" w:rsidRPr="00CB4D6B">
              <w:rPr>
                <w:rFonts w:ascii="Arial Narrow" w:eastAsia="Times New Roman" w:hAnsi="Arial Narrow" w:cs="Arial"/>
                <w:color w:val="000000"/>
                <w:lang w:val="es-CO" w:eastAsia="es-CO"/>
              </w:rPr>
              <w:t xml:space="preserve">presentara </w:t>
            </w:r>
            <w:r w:rsidR="00DF2D04" w:rsidRPr="00CB4D6B">
              <w:rPr>
                <w:rFonts w:ascii="Arial Narrow" w:eastAsia="Times New Roman" w:hAnsi="Arial Narrow" w:cs="Arial"/>
                <w:color w:val="000000"/>
                <w:lang w:val="es-CO" w:eastAsia="es-CO"/>
              </w:rPr>
              <w:t xml:space="preserve"> el resultado obtenido</w:t>
            </w:r>
            <w:r w:rsidR="00DF2D04" w:rsidRPr="004159A2">
              <w:rPr>
                <w:rFonts w:ascii="Arial Narrow" w:eastAsia="Times New Roman" w:hAnsi="Arial Narrow" w:cs="Arial"/>
                <w:color w:val="000000"/>
                <w:lang w:val="es-CO" w:eastAsia="es-CO"/>
              </w:rPr>
              <w:t xml:space="preserve"> en </w:t>
            </w:r>
            <w:r w:rsidR="0029425F" w:rsidRPr="004159A2">
              <w:rPr>
                <w:rFonts w:ascii="Arial Narrow" w:eastAsia="Times New Roman" w:hAnsi="Arial Narrow" w:cs="Arial"/>
                <w:color w:val="000000"/>
                <w:lang w:val="es-CO" w:eastAsia="es-CO"/>
              </w:rPr>
              <w:t xml:space="preserve">el  siguiente informe de seguimiento. </w:t>
            </w:r>
          </w:p>
          <w:p w14:paraId="15E82983" w14:textId="780DA99C" w:rsidR="00A67138" w:rsidRDefault="00A71F74" w:rsidP="00CB4D6B">
            <w:pPr>
              <w:tabs>
                <w:tab w:val="left" w:pos="3420"/>
              </w:tabs>
              <w:spacing w:after="0" w:line="240" w:lineRule="auto"/>
              <w:jc w:val="both"/>
              <w:rPr>
                <w:rFonts w:ascii="Arial Narrow" w:hAnsi="Arial Narrow" w:cs="Arial"/>
              </w:rPr>
            </w:pPr>
            <w:r w:rsidRPr="004159A2">
              <w:rPr>
                <w:rFonts w:ascii="Arial Narrow" w:hAnsi="Arial Narrow" w:cs="Arial"/>
              </w:rPr>
              <w:tab/>
            </w:r>
          </w:p>
          <w:p w14:paraId="7FCC0EA7" w14:textId="2A337DB3" w:rsidR="007E5AEC" w:rsidRDefault="007E5AEC" w:rsidP="007E5AEC">
            <w:pPr>
              <w:spacing w:after="0" w:line="240" w:lineRule="auto"/>
              <w:jc w:val="both"/>
              <w:rPr>
                <w:rFonts w:ascii="Arial Narrow" w:eastAsia="Times New Roman" w:hAnsi="Arial Narrow" w:cs="Arial"/>
                <w:color w:val="000000"/>
                <w:lang w:val="es-CO" w:eastAsia="es-CO"/>
              </w:rPr>
            </w:pPr>
            <w:r>
              <w:rPr>
                <w:rFonts w:ascii="Arial Narrow" w:hAnsi="Arial Narrow" w:cs="Arial"/>
              </w:rPr>
              <w:t xml:space="preserve">Dando continuidad  al informe correspondiente al I trimestre del año 2021 entregado en el mes de mayo, se encontraban en desarrollo </w:t>
            </w:r>
            <w:r w:rsidRPr="004159A2">
              <w:rPr>
                <w:rFonts w:ascii="Arial Narrow" w:hAnsi="Arial Narrow" w:cs="Arial"/>
              </w:rPr>
              <w:t>las auditoria a los procesos “</w:t>
            </w:r>
            <w:r w:rsidRPr="004159A2">
              <w:rPr>
                <w:rFonts w:ascii="Arial Narrow" w:eastAsia="Times New Roman" w:hAnsi="Arial Narrow" w:cs="Arial"/>
                <w:b/>
                <w:bCs/>
                <w:color w:val="000000"/>
                <w:lang w:val="es-CO" w:eastAsia="es-CO"/>
              </w:rPr>
              <w:t>Gestión del talento humano y el proceso “</w:t>
            </w:r>
            <w:r w:rsidRPr="005D008A">
              <w:rPr>
                <w:rFonts w:ascii="Arial Narrow" w:eastAsia="Times New Roman" w:hAnsi="Arial Narrow" w:cs="Arial"/>
                <w:b/>
                <w:bCs/>
                <w:lang w:val="es-CO" w:eastAsia="es-CO"/>
              </w:rPr>
              <w:t>Planeación Institucional</w:t>
            </w:r>
            <w:r w:rsidRPr="004159A2">
              <w:rPr>
                <w:rFonts w:ascii="Arial Narrow" w:eastAsia="Times New Roman" w:hAnsi="Arial Narrow" w:cs="Arial"/>
                <w:b/>
                <w:bCs/>
                <w:lang w:val="es-CO" w:eastAsia="es-CO"/>
              </w:rPr>
              <w:t>”</w:t>
            </w:r>
            <w:r w:rsidRPr="004159A2">
              <w:rPr>
                <w:rFonts w:ascii="Arial Narrow" w:eastAsia="Times New Roman" w:hAnsi="Arial Narrow" w:cs="Arial"/>
                <w:color w:val="000000"/>
                <w:lang w:val="es-CO" w:eastAsia="es-CO"/>
              </w:rPr>
              <w:t xml:space="preserve">, por consiguiente, se presentara  el resultado obtenido </w:t>
            </w:r>
            <w:r>
              <w:rPr>
                <w:rFonts w:ascii="Arial Narrow" w:eastAsia="Times New Roman" w:hAnsi="Arial Narrow" w:cs="Arial"/>
                <w:color w:val="000000"/>
                <w:lang w:val="es-CO" w:eastAsia="es-CO"/>
              </w:rPr>
              <w:t xml:space="preserve"> para estos procesos:</w:t>
            </w:r>
          </w:p>
          <w:p w14:paraId="146A17BE" w14:textId="25504ECA" w:rsidR="007E5AEC" w:rsidRDefault="007E5AEC" w:rsidP="007E5AEC">
            <w:pPr>
              <w:spacing w:after="0" w:line="240" w:lineRule="auto"/>
              <w:jc w:val="both"/>
              <w:rPr>
                <w:rFonts w:ascii="Arial Narrow" w:eastAsia="Times New Roman" w:hAnsi="Arial Narrow" w:cs="Arial"/>
                <w:color w:val="000000"/>
                <w:lang w:val="es-CO" w:eastAsia="es-CO"/>
              </w:rPr>
            </w:pPr>
          </w:p>
          <w:tbl>
            <w:tblPr>
              <w:tblW w:w="4946" w:type="pct"/>
              <w:tblCellMar>
                <w:left w:w="70" w:type="dxa"/>
                <w:right w:w="70" w:type="dxa"/>
              </w:tblCellMar>
              <w:tblLook w:val="04A0" w:firstRow="1" w:lastRow="0" w:firstColumn="1" w:lastColumn="0" w:noHBand="0" w:noVBand="1"/>
            </w:tblPr>
            <w:tblGrid>
              <w:gridCol w:w="1616"/>
              <w:gridCol w:w="690"/>
              <w:gridCol w:w="1117"/>
              <w:gridCol w:w="5992"/>
            </w:tblGrid>
            <w:tr w:rsidR="007E5AEC" w:rsidRPr="007E5AEC" w14:paraId="1533FC21" w14:textId="77777777" w:rsidTr="007E5AEC">
              <w:trPr>
                <w:trHeight w:val="5185"/>
              </w:trPr>
              <w:tc>
                <w:tcPr>
                  <w:tcW w:w="85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363C209" w14:textId="77777777" w:rsidR="007E5AEC" w:rsidRPr="007E5AEC" w:rsidRDefault="007E5AEC" w:rsidP="007E5AEC">
                  <w:pPr>
                    <w:spacing w:after="0" w:line="240" w:lineRule="auto"/>
                    <w:jc w:val="center"/>
                    <w:rPr>
                      <w:rFonts w:asciiTheme="minorHAnsi" w:eastAsia="Times New Roman" w:hAnsiTheme="minorHAnsi" w:cstheme="minorHAnsi"/>
                      <w:b/>
                      <w:bCs/>
                      <w:sz w:val="16"/>
                      <w:szCs w:val="16"/>
                      <w:lang w:val="es-419" w:eastAsia="es-419"/>
                    </w:rPr>
                  </w:pPr>
                  <w:r w:rsidRPr="007E5AEC">
                    <w:rPr>
                      <w:rFonts w:asciiTheme="minorHAnsi" w:eastAsia="Times New Roman" w:hAnsiTheme="minorHAnsi" w:cstheme="minorHAnsi"/>
                      <w:b/>
                      <w:bCs/>
                      <w:sz w:val="16"/>
                      <w:szCs w:val="16"/>
                      <w:lang w:val="es-419" w:eastAsia="es-419"/>
                    </w:rPr>
                    <w:t>Planeación Institucional</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92AC914" w14:textId="54FD5BE4" w:rsidR="007E5AEC" w:rsidRPr="007E5AEC" w:rsidRDefault="007E5AEC" w:rsidP="007E5AEC">
                  <w:pPr>
                    <w:spacing w:after="0" w:line="240" w:lineRule="auto"/>
                    <w:jc w:val="center"/>
                    <w:rPr>
                      <w:rFonts w:asciiTheme="minorHAnsi" w:eastAsia="Times New Roman" w:hAnsiTheme="minorHAnsi" w:cstheme="minorHAnsi"/>
                      <w:color w:val="000000"/>
                      <w:sz w:val="16"/>
                      <w:szCs w:val="16"/>
                      <w:lang w:val="es-419" w:eastAsia="es-419"/>
                    </w:rPr>
                  </w:pPr>
                  <w:r w:rsidRPr="007E5AEC">
                    <w:rPr>
                      <w:rFonts w:asciiTheme="minorHAnsi" w:eastAsia="Times New Roman" w:hAnsiTheme="minorHAnsi" w:cstheme="minorHAnsi"/>
                      <w:color w:val="000000"/>
                      <w:sz w:val="16"/>
                      <w:szCs w:val="16"/>
                      <w:lang w:val="es-419" w:eastAsia="es-419"/>
                    </w:rPr>
                    <w:t>Hallazgo 5</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0970E9B9" w14:textId="4A3096A5" w:rsidR="007E5AEC" w:rsidRPr="007E5AEC" w:rsidRDefault="007E5AEC" w:rsidP="007E5AEC">
                  <w:pPr>
                    <w:spacing w:after="0" w:line="240" w:lineRule="auto"/>
                    <w:jc w:val="center"/>
                    <w:rPr>
                      <w:rFonts w:asciiTheme="minorHAnsi" w:eastAsia="Times New Roman" w:hAnsiTheme="minorHAnsi" w:cstheme="minorHAnsi"/>
                      <w:color w:val="000000"/>
                      <w:sz w:val="16"/>
                      <w:szCs w:val="16"/>
                      <w:lang w:val="es-419" w:eastAsia="es-419"/>
                    </w:rPr>
                  </w:pPr>
                  <w:r w:rsidRPr="007E5AEC">
                    <w:rPr>
                      <w:rFonts w:asciiTheme="minorHAnsi" w:eastAsia="Times New Roman" w:hAnsiTheme="minorHAnsi" w:cstheme="minorHAnsi"/>
                      <w:color w:val="000000"/>
                      <w:sz w:val="16"/>
                      <w:szCs w:val="16"/>
                      <w:lang w:val="es-419" w:eastAsia="es-419"/>
                    </w:rPr>
                    <w:t>Oportunidades de mejora      2</w:t>
                  </w:r>
                </w:p>
              </w:tc>
              <w:tc>
                <w:tcPr>
                  <w:tcW w:w="3182" w:type="pct"/>
                  <w:tcBorders>
                    <w:top w:val="single" w:sz="4" w:space="0" w:color="auto"/>
                    <w:left w:val="nil"/>
                    <w:bottom w:val="single" w:sz="4" w:space="0" w:color="auto"/>
                    <w:right w:val="single" w:sz="8" w:space="0" w:color="auto"/>
                  </w:tcBorders>
                  <w:shd w:val="clear" w:color="auto" w:fill="auto"/>
                  <w:vAlign w:val="bottom"/>
                  <w:hideMark/>
                </w:tcPr>
                <w:p w14:paraId="4BC30F6F" w14:textId="21DCE683" w:rsidR="007E5AEC" w:rsidRPr="007E5AEC" w:rsidRDefault="007E5AEC" w:rsidP="007E5AEC">
                  <w:pPr>
                    <w:spacing w:after="0" w:line="240" w:lineRule="auto"/>
                    <w:jc w:val="both"/>
                    <w:rPr>
                      <w:rFonts w:asciiTheme="minorHAnsi" w:eastAsia="Times New Roman" w:hAnsiTheme="minorHAnsi" w:cstheme="minorHAnsi"/>
                      <w:color w:val="000000"/>
                      <w:sz w:val="16"/>
                      <w:szCs w:val="16"/>
                      <w:lang w:val="es-419" w:eastAsia="es-419"/>
                    </w:rPr>
                  </w:pPr>
                  <w:r w:rsidRPr="007E5AEC">
                    <w:rPr>
                      <w:rFonts w:asciiTheme="minorHAnsi" w:eastAsia="Times New Roman" w:hAnsiTheme="minorHAnsi" w:cstheme="minorHAnsi"/>
                      <w:color w:val="000000"/>
                      <w:sz w:val="16"/>
                      <w:szCs w:val="16"/>
                      <w:lang w:val="es-419" w:eastAsia="es-419"/>
                    </w:rPr>
                    <w:t xml:space="preserve">• Verificar que cada uno de los riesgos, especialmente los de corrupción, asociados a los procesos establecidos por la Entidad, se encuentren identificados, calificados, clasificados y evaluados, tal y como lo dispone la metodología vigente establecida por el Departamento Administrativo de la Función Pública y una vez se efectúen las actualizaciones a que haya lugar, hacer la divulgación de los cambios realizados en los Mapas de Riesgos de Gestión y de Corrupción. Ahora bien, frente al diseño de los controles es muy común encontrar ambigüedades a la hora de establecer la periodicidad de ejecución de la actividad de control, por lo que se sugiere que cuando el control no tenga un periodo de tiempo específico y sea conexo a una actividad, se indique en su redacción (Ejemplo: "cada vez que se va a realizar un pago", "cada vez que se genere un acto administrativo", "cuando se realice una visita de inspección a una CCF", etc.). • Con relación a la elaboración de los planes instituciones como es el caso del Plan de Acción y el del Plan Anticorrupción y Atención al Ciudadano (PAAC), se sugiere apoyar la labor con una lista de chequeo en la que se identifiquen los diferentes requisitos para su preparación con el fin de disminuir el riesgo de omisión de alguno de ellos. De ser posible, implementar tal formato en el Sistema Integrado de Gestión con el fin de preservar el conocimiento y facilitar que cualquier persona, relacionada o no con el proceso, tenga la posibilidad de entender, interpretar y ejecutar con regularidad la actividad.• En cuanto a la documentación del proceso en el Sistema Integrado de Gestión, verificar las observaciones realizadas en la presente auditoria con el fin de que sean subsanadas las situaciones encontradas en lo que respecta a la caracterización y procedimientos del proceso de “planeación institucional” y de manera proactiva adelantar esta labor con los demás procesos de la Entidad, a fin de que los mismos se ajusten a los estándares presentados por el Departamento Administrativo de la Función Pública en la  “Guía para la gestión por procesos en el marco del modelo integrado de planeación y gestión (MIPG)”. • Fortalecer las competencias para el manejo de herramientas de medición (indicadores), mediante la consulta de Guías Metodológicas para la construcción de indicadores emitidas por el Departamento Administrativo de la Función Pública (DAFP), Departamento Nacional de Planeación (DNP), Departamento </w:t>
                  </w:r>
                  <w:r w:rsidRPr="007E5AEC">
                    <w:rPr>
                      <w:rFonts w:asciiTheme="minorHAnsi" w:eastAsia="Times New Roman" w:hAnsiTheme="minorHAnsi" w:cstheme="minorHAnsi"/>
                      <w:color w:val="000000"/>
                      <w:sz w:val="16"/>
                      <w:szCs w:val="16"/>
                      <w:lang w:val="es-419" w:eastAsia="es-419"/>
                    </w:rPr>
                    <w:lastRenderedPageBreak/>
                    <w:t>Nacional de Estadísticas (DANE), entre otros, disponibles en sus respectivas páginas web. De ser posible, complementar con capacitaciones en la materia, para que no solo la Oficina de Planeación, sino que además los diferentes procesos de la Entidad, puedan ajustar y fortalecer los indicadores de gestión definidos al interior de la Entidad. • La Oficina de Control Interno recomienda precisar dentro del contrato que se realice con el proveedor del aplicativo ISOLUCION cuál sería el tipo de licenciamiento adicional a adquirir para que no sea confundido con el licenciamiento perpetuo actual que se tiene la SSF con la herramienta ISOLUCION.• Si bien se obtuvo evidencia de gestión de casos por parte del proveedor con su respectiva descripción en la herramienta de seguimiento que manejan, sin embargo como se estipula dentro del estudio previo para el contrato 086 del 2020 en la sección 2.2.2 obligaciones específicas literal 12, y como se estipula en las obligaciones específicas literal 12 dentro del contrato 086 del 2020: que el proveedor entregue un informe (documentos) con la descripción del soporte realizado luego de cada solicitud o caso escalado. Por parte del área de control se recomienda realizar la evaluación y validación por parte del área de planeación en conjunto con el área de contratación sobre las obligaciones que quedaran estipuladas en los próximos contratos, para evitar así estas obligaciones tan rigurosas o que no sean claras.• La oficina de control interno recomienda sobre el uso y funcionabilidad del módulo proveedores y Talento Humano en ISOLUCION, es adecuado que se establezca en conjunto con el área de Talento Humano, contratación y recursos físicos unas actividades para dar un mejor uso al aplicativo especialmente para ese modulo.• La oficina de control interno recomienda que todas las áreas interactúen más con el aplicativo debido que se queda corto en la usabilidad completa de todos los módulos y características al interior de la entidad.• La oficina de control interno recomienda, Ya que el fabricante del software ISOLUCION ha desarrollado para las entidades públicas la posibilidad que implementen el modelo de MIPG a través del aplicativo, es importante gestionar con el proveedor del aplicativo ISOLUCION para que las diferentes áreas involucradas puedan aprovechar esta característica. • En el aplicativo ISOLUCION dentro del módulo de documentación se puede sacar provecho a la sección módulo de conocimiento el cual podría ser fundamental para un proceso de gestión del conocimiento debido que para las empresas son un activo intangible por lo cual es adecuado que sea administrado y gestionado de tal manera que los usuarios cuando se retiren de la entidad no se lleven el conocimiento sin dejarlo plasmado en un repositorio para las nuevas personas que ingresan. • La herramienta ISOLUCION permite hacer tareas básicas individualmente, sin embargo, sería adecuado que permitiera realizar multitareas donde sea más interactivo para los usuarios, sacando un mejor provecho de toda la información que manejan. • La oficina de control interno recomienda que el aplicativo tenga un sistema de monitoreo continúo permitiendo así establecer acciones preventivas para la prestación del servicio y mediciones del porcentaje (%) de uptime. Además, establecer acciones de comunicación e información automática por correo a los responsables del aplicativo. • Aunque el aplicativo es muy básico y la visualización no es tan interactiva como otras plataformas, logra cumplir una parte de los requerimientos de algunas áreas como: mediciones, indicadores, auditorias, controles, mejoramiento continuo, gestión en la documentación y repositorios de información, sin embargo, en varios aspectos la herramienta se queda corta como: Tablas básicas, plantillas y formatos de uso común, módulos no usados, entre otros. • La Oficina de control interno recomienda que, aunque el área de planeación ha realizado actividades de depuración de información antigua y obsoleta, se recomienda establecer dentro del procedimiento como actividad periódica semestral o anual de evaluación y actualización de formatos, procedimientos y caracterización de procesos con cada área de la entidad evitando así duplicación de información, depuración a la base de datos.</w:t>
                  </w:r>
                </w:p>
              </w:tc>
            </w:tr>
          </w:tbl>
          <w:p w14:paraId="14EB5DD9" w14:textId="77777777" w:rsidR="007E5AEC" w:rsidRPr="004159A2" w:rsidRDefault="007E5AEC" w:rsidP="007E5AEC">
            <w:pPr>
              <w:spacing w:after="0" w:line="240" w:lineRule="auto"/>
              <w:jc w:val="both"/>
              <w:rPr>
                <w:rFonts w:ascii="Arial Narrow" w:eastAsia="Times New Roman" w:hAnsi="Arial Narrow" w:cs="Arial"/>
                <w:b/>
                <w:bCs/>
                <w:color w:val="000000"/>
                <w:lang w:val="es-CO" w:eastAsia="es-CO"/>
              </w:rPr>
            </w:pPr>
          </w:p>
          <w:tbl>
            <w:tblPr>
              <w:tblW w:w="0" w:type="auto"/>
              <w:tblCellMar>
                <w:left w:w="70" w:type="dxa"/>
                <w:right w:w="70" w:type="dxa"/>
              </w:tblCellMar>
              <w:tblLook w:val="04A0" w:firstRow="1" w:lastRow="0" w:firstColumn="1" w:lastColumn="0" w:noHBand="0" w:noVBand="1"/>
            </w:tblPr>
            <w:tblGrid>
              <w:gridCol w:w="1609"/>
              <w:gridCol w:w="752"/>
              <w:gridCol w:w="974"/>
              <w:gridCol w:w="6183"/>
            </w:tblGrid>
            <w:tr w:rsidR="00F85B8B" w:rsidRPr="007E5AEC" w14:paraId="664CE83B" w14:textId="77777777" w:rsidTr="00F85B8B">
              <w:trPr>
                <w:trHeight w:val="6745"/>
              </w:trPr>
              <w:tc>
                <w:tcPr>
                  <w:tcW w:w="161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95322F" w14:textId="77777777" w:rsidR="007E5AEC" w:rsidRPr="007E5AEC" w:rsidRDefault="007E5AEC" w:rsidP="007E5AEC">
                  <w:pPr>
                    <w:spacing w:after="0" w:line="240" w:lineRule="auto"/>
                    <w:jc w:val="center"/>
                    <w:rPr>
                      <w:rFonts w:asciiTheme="minorHAnsi" w:eastAsia="Times New Roman" w:hAnsiTheme="minorHAnsi" w:cstheme="minorHAnsi"/>
                      <w:b/>
                      <w:bCs/>
                      <w:color w:val="000000"/>
                      <w:sz w:val="16"/>
                      <w:szCs w:val="16"/>
                      <w:lang w:val="es-419" w:eastAsia="es-419"/>
                    </w:rPr>
                  </w:pPr>
                  <w:r w:rsidRPr="007E5AEC">
                    <w:rPr>
                      <w:rFonts w:asciiTheme="minorHAnsi" w:eastAsia="Times New Roman" w:hAnsiTheme="minorHAnsi" w:cstheme="minorHAnsi"/>
                      <w:b/>
                      <w:bCs/>
                      <w:color w:val="000000"/>
                      <w:sz w:val="16"/>
                      <w:szCs w:val="16"/>
                      <w:lang w:val="es-419" w:eastAsia="es-419"/>
                    </w:rPr>
                    <w:lastRenderedPageBreak/>
                    <w:t>Gestión del Talento Humano</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48A40B6E" w14:textId="31188C80" w:rsidR="007E5AEC" w:rsidRPr="007E5AEC" w:rsidRDefault="007E5AEC" w:rsidP="007E5AEC">
                  <w:pPr>
                    <w:spacing w:after="0" w:line="240" w:lineRule="auto"/>
                    <w:jc w:val="center"/>
                    <w:rPr>
                      <w:rFonts w:asciiTheme="minorHAnsi" w:eastAsia="Times New Roman" w:hAnsiTheme="minorHAnsi" w:cstheme="minorHAnsi"/>
                      <w:color w:val="000000"/>
                      <w:sz w:val="16"/>
                      <w:szCs w:val="16"/>
                      <w:lang w:val="es-419" w:eastAsia="es-419"/>
                    </w:rPr>
                  </w:pPr>
                  <w:r>
                    <w:rPr>
                      <w:rFonts w:asciiTheme="minorHAnsi" w:eastAsia="Times New Roman" w:hAnsiTheme="minorHAnsi" w:cstheme="minorHAnsi"/>
                      <w:color w:val="000000"/>
                      <w:sz w:val="16"/>
                      <w:szCs w:val="16"/>
                      <w:lang w:val="es-419" w:eastAsia="es-419"/>
                    </w:rPr>
                    <w:t xml:space="preserve">Hallazgos </w:t>
                  </w:r>
                  <w:r w:rsidRPr="007E5AEC">
                    <w:rPr>
                      <w:rFonts w:asciiTheme="minorHAnsi" w:eastAsia="Times New Roman" w:hAnsiTheme="minorHAnsi" w:cstheme="minorHAnsi"/>
                      <w:color w:val="000000"/>
                      <w:sz w:val="16"/>
                      <w:szCs w:val="16"/>
                      <w:lang w:val="es-419" w:eastAsia="es-419"/>
                    </w:rPr>
                    <w:t>4</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58574E5B" w14:textId="3D36FBA3" w:rsidR="007E5AEC" w:rsidRPr="007E5AEC" w:rsidRDefault="007E5AEC" w:rsidP="007E5AEC">
                  <w:pPr>
                    <w:spacing w:after="0" w:line="240" w:lineRule="auto"/>
                    <w:jc w:val="center"/>
                    <w:rPr>
                      <w:rFonts w:asciiTheme="minorHAnsi" w:eastAsia="Times New Roman" w:hAnsiTheme="minorHAnsi" w:cstheme="minorHAnsi"/>
                      <w:color w:val="000000"/>
                      <w:sz w:val="16"/>
                      <w:szCs w:val="16"/>
                      <w:lang w:val="es-419" w:eastAsia="es-419"/>
                    </w:rPr>
                  </w:pPr>
                  <w:r>
                    <w:rPr>
                      <w:rFonts w:asciiTheme="minorHAnsi" w:eastAsia="Times New Roman" w:hAnsiTheme="minorHAnsi" w:cstheme="minorHAnsi"/>
                      <w:color w:val="000000"/>
                      <w:sz w:val="16"/>
                      <w:szCs w:val="16"/>
                      <w:lang w:val="es-419" w:eastAsia="es-419"/>
                    </w:rPr>
                    <w:t xml:space="preserve">Oportunidad de mejora        </w:t>
                  </w:r>
                  <w:r w:rsidRPr="007E5AEC">
                    <w:rPr>
                      <w:rFonts w:asciiTheme="minorHAnsi" w:eastAsia="Times New Roman" w:hAnsiTheme="minorHAnsi" w:cstheme="minorHAnsi"/>
                      <w:color w:val="000000"/>
                      <w:sz w:val="16"/>
                      <w:szCs w:val="16"/>
                      <w:lang w:val="es-419" w:eastAsia="es-419"/>
                    </w:rPr>
                    <w:t>3</w:t>
                  </w:r>
                </w:p>
              </w:tc>
              <w:tc>
                <w:tcPr>
                  <w:tcW w:w="6234" w:type="dxa"/>
                  <w:tcBorders>
                    <w:top w:val="single" w:sz="4" w:space="0" w:color="auto"/>
                    <w:left w:val="nil"/>
                    <w:bottom w:val="single" w:sz="4" w:space="0" w:color="auto"/>
                    <w:right w:val="single" w:sz="8" w:space="0" w:color="auto"/>
                  </w:tcBorders>
                  <w:shd w:val="clear" w:color="auto" w:fill="auto"/>
                  <w:vAlign w:val="bottom"/>
                  <w:hideMark/>
                </w:tcPr>
                <w:p w14:paraId="2865D945" w14:textId="4A0769A0" w:rsidR="007E5AEC" w:rsidRPr="007E5AEC" w:rsidRDefault="007E5AEC" w:rsidP="007E5AEC">
                  <w:pPr>
                    <w:spacing w:after="0" w:line="240" w:lineRule="auto"/>
                    <w:jc w:val="both"/>
                    <w:rPr>
                      <w:rFonts w:asciiTheme="minorHAnsi" w:eastAsia="Times New Roman" w:hAnsiTheme="minorHAnsi" w:cstheme="minorHAnsi"/>
                      <w:color w:val="000000"/>
                      <w:sz w:val="16"/>
                      <w:szCs w:val="16"/>
                      <w:lang w:val="es-419" w:eastAsia="es-419"/>
                    </w:rPr>
                  </w:pPr>
                  <w:r w:rsidRPr="007E5AEC">
                    <w:rPr>
                      <w:rFonts w:asciiTheme="minorHAnsi" w:eastAsia="Times New Roman" w:hAnsiTheme="minorHAnsi" w:cstheme="minorHAnsi"/>
                      <w:color w:val="000000"/>
                      <w:sz w:val="16"/>
                      <w:szCs w:val="16"/>
                      <w:lang w:val="es-419" w:eastAsia="es-419"/>
                    </w:rPr>
                    <w:t xml:space="preserve">a) Se recomienda implementar mecanismos de control de tal manera que permitan garantizar el cumplimiento de lo señalado en el procedimiento de vinculación, inducción y desvinculación de personal, específicamente en lo descrito en la documentación   que debe ser entregada en el momento del retiro de la entidad por parte de los funcionarios y de esta manera dar cumplimiento de requisitos legales. b)  La Oficina de Control Interno recomienda establecer como punto de control en la caracterización del proceso de Gestión de Talento Humano en las actividades,  ausencia o extemporaneidad con incapacidad justificada o no justificada en el control de ausentismo para los funcionarios, utilizando los sistemas de registro de acceso conque actualmente cuenta la entidad, realizando un seguimiento continuo que evidencie los permisos y licencias y, en general, de todas las ausencias producidas en el puesto de trabajo, de esta manera realizar un seguimiento estadístico, conocer su evolución y cuantificar la repercusión para administración de sus incapacidades y con estos controles que le permitan mitigar los riesgos que se puedan presentar. c) En la revisión realizada al Plan de bienestar, incentivos y clima organizacional, se establecen algunas observaciones al momento de realizar la verificación de actividades y cumplimiento del contratista.  d) Se evidencia en algunas facturas presentadas por el contratista, que no se evidencia en la observación y en el </w:t>
                  </w:r>
                  <w:r w:rsidR="00F85B8B" w:rsidRPr="007E5AEC">
                    <w:rPr>
                      <w:rFonts w:asciiTheme="minorHAnsi" w:eastAsia="Times New Roman" w:hAnsiTheme="minorHAnsi" w:cstheme="minorHAnsi"/>
                      <w:color w:val="000000"/>
                      <w:sz w:val="16"/>
                      <w:szCs w:val="16"/>
                      <w:lang w:val="es-419" w:eastAsia="es-419"/>
                    </w:rPr>
                    <w:t>ítem de</w:t>
                  </w:r>
                  <w:r w:rsidRPr="007E5AEC">
                    <w:rPr>
                      <w:rFonts w:asciiTheme="minorHAnsi" w:eastAsia="Times New Roman" w:hAnsiTheme="minorHAnsi" w:cstheme="minorHAnsi"/>
                      <w:color w:val="000000"/>
                      <w:sz w:val="16"/>
                      <w:szCs w:val="16"/>
                      <w:lang w:val="es-419" w:eastAsia="es-419"/>
                    </w:rPr>
                    <w:t xml:space="preserve"> la </w:t>
                  </w:r>
                  <w:r w:rsidR="00F85B8B" w:rsidRPr="007E5AEC">
                    <w:rPr>
                      <w:rFonts w:asciiTheme="minorHAnsi" w:eastAsia="Times New Roman" w:hAnsiTheme="minorHAnsi" w:cstheme="minorHAnsi"/>
                      <w:color w:val="000000"/>
                      <w:sz w:val="16"/>
                      <w:szCs w:val="16"/>
                      <w:lang w:val="es-419" w:eastAsia="es-419"/>
                    </w:rPr>
                    <w:t>factura la</w:t>
                  </w:r>
                  <w:r w:rsidRPr="007E5AEC">
                    <w:rPr>
                      <w:rFonts w:asciiTheme="minorHAnsi" w:eastAsia="Times New Roman" w:hAnsiTheme="minorHAnsi" w:cstheme="minorHAnsi"/>
                      <w:color w:val="000000"/>
                      <w:sz w:val="16"/>
                      <w:szCs w:val="16"/>
                      <w:lang w:val="es-419" w:eastAsia="es-419"/>
                    </w:rPr>
                    <w:t xml:space="preserve"> descripción exacta de la cantidad de servicio o beneficios entregados, es importante dar claridad en temas por ejemplo bonos o incentivos detallando lo realmente entregado para que no haya lugar a equívocos o malas interpretaciones. e) En la entrega de incentivos a funcionarios que se pensionan, incentivos a equipos de trabajo, entre otros, en los que no se realiza un acto administrativo, es importante crear un formato de control, que tenga como propósito establecer los criterios a tener en cuenta para su entrega </w:t>
                  </w:r>
                  <w:r w:rsidR="00F85B8B" w:rsidRPr="007E5AEC">
                    <w:rPr>
                      <w:rFonts w:asciiTheme="minorHAnsi" w:eastAsia="Times New Roman" w:hAnsiTheme="minorHAnsi" w:cstheme="minorHAnsi"/>
                      <w:color w:val="000000"/>
                      <w:sz w:val="16"/>
                      <w:szCs w:val="16"/>
                      <w:lang w:val="es-419" w:eastAsia="es-419"/>
                    </w:rPr>
                    <w:t>y disponer</w:t>
                  </w:r>
                  <w:r w:rsidRPr="007E5AEC">
                    <w:rPr>
                      <w:rFonts w:asciiTheme="minorHAnsi" w:eastAsia="Times New Roman" w:hAnsiTheme="minorHAnsi" w:cstheme="minorHAnsi"/>
                      <w:color w:val="000000"/>
                      <w:sz w:val="16"/>
                      <w:szCs w:val="16"/>
                      <w:lang w:val="es-419" w:eastAsia="es-419"/>
                    </w:rPr>
                    <w:t xml:space="preserve"> de documentación organizada en el proceso, que evidencie la gestión realizada.  f) Referente a los listados y/o base de datos entregados por el contratista, es importante que contenga el cálculo de la información, para que la información sea completa y los detalles coincidan con el registro presentado.</w:t>
                  </w:r>
                  <w:r>
                    <w:rPr>
                      <w:rFonts w:asciiTheme="minorHAnsi" w:eastAsia="Times New Roman" w:hAnsiTheme="minorHAnsi" w:cstheme="minorHAnsi"/>
                      <w:color w:val="000000"/>
                      <w:sz w:val="16"/>
                      <w:szCs w:val="16"/>
                      <w:lang w:val="es-419" w:eastAsia="es-419"/>
                    </w:rPr>
                    <w:t xml:space="preserve">  </w:t>
                  </w:r>
                  <w:r w:rsidRPr="007E5AEC">
                    <w:rPr>
                      <w:rFonts w:asciiTheme="minorHAnsi" w:eastAsia="Times New Roman" w:hAnsiTheme="minorHAnsi" w:cstheme="minorHAnsi"/>
                      <w:color w:val="000000"/>
                      <w:sz w:val="16"/>
                      <w:szCs w:val="16"/>
                      <w:lang w:val="es-419" w:eastAsia="es-419"/>
                    </w:rPr>
                    <w:t xml:space="preserve">g) Es importante dar continuar con </w:t>
                  </w:r>
                  <w:r w:rsidR="00F85B8B" w:rsidRPr="007E5AEC">
                    <w:rPr>
                      <w:rFonts w:asciiTheme="minorHAnsi" w:eastAsia="Times New Roman" w:hAnsiTheme="minorHAnsi" w:cstheme="minorHAnsi"/>
                      <w:color w:val="000000"/>
                      <w:sz w:val="16"/>
                      <w:szCs w:val="16"/>
                      <w:lang w:val="es-419" w:eastAsia="es-419"/>
                    </w:rPr>
                    <w:t>la aplicabilidad</w:t>
                  </w:r>
                  <w:r w:rsidRPr="007E5AEC">
                    <w:rPr>
                      <w:rFonts w:asciiTheme="minorHAnsi" w:eastAsia="Times New Roman" w:hAnsiTheme="minorHAnsi" w:cstheme="minorHAnsi"/>
                      <w:color w:val="000000"/>
                      <w:sz w:val="16"/>
                      <w:szCs w:val="16"/>
                      <w:lang w:val="es-419" w:eastAsia="es-419"/>
                    </w:rPr>
                    <w:t xml:space="preserve"> de los indicadores del SG-SST, ya que estas herramientas permiten a la entidad evaluar los resultados de su gestión, identificando las oportunidades para mejorar y adaptando las metas a una visión más realista. h) Se recomienda el cumplimiento del Programa de inducción con lo señalado por la Ley 190 de 2005, en su artículo 64 y el Decreto 1567 de 1998 en su artículo 7 y el cumplimiento en el plan de capacitación, el cual especifica que se realizará esta actividad dentro de los tres (3) primeros meses contados a partir de la fecha de nombramiento en el cargo al momento de </w:t>
                  </w:r>
                  <w:r w:rsidR="00F85B8B" w:rsidRPr="007E5AEC">
                    <w:rPr>
                      <w:rFonts w:asciiTheme="minorHAnsi" w:eastAsia="Times New Roman" w:hAnsiTheme="minorHAnsi" w:cstheme="minorHAnsi"/>
                      <w:color w:val="000000"/>
                      <w:sz w:val="16"/>
                      <w:szCs w:val="16"/>
                      <w:lang w:val="es-419" w:eastAsia="es-419"/>
                    </w:rPr>
                    <w:t>vincularse</w:t>
                  </w:r>
                  <w:r w:rsidRPr="007E5AEC">
                    <w:rPr>
                      <w:rFonts w:asciiTheme="minorHAnsi" w:eastAsia="Times New Roman" w:hAnsiTheme="minorHAnsi" w:cstheme="minorHAnsi"/>
                      <w:color w:val="000000"/>
                      <w:sz w:val="16"/>
                      <w:szCs w:val="16"/>
                      <w:lang w:val="es-419" w:eastAsia="es-419"/>
                    </w:rPr>
                    <w:t xml:space="preserve">) Es importante dar aplicabilidad al resultado del  </w:t>
                  </w:r>
                  <w:r w:rsidR="00F85B8B" w:rsidRPr="007E5AEC">
                    <w:rPr>
                      <w:rFonts w:asciiTheme="minorHAnsi" w:eastAsia="Times New Roman" w:hAnsiTheme="minorHAnsi" w:cstheme="minorHAnsi"/>
                      <w:color w:val="000000"/>
                      <w:sz w:val="16"/>
                      <w:szCs w:val="16"/>
                      <w:lang w:val="es-419" w:eastAsia="es-419"/>
                    </w:rPr>
                    <w:t>diagnóstico</w:t>
                  </w:r>
                  <w:r w:rsidRPr="007E5AEC">
                    <w:rPr>
                      <w:rFonts w:asciiTheme="minorHAnsi" w:eastAsia="Times New Roman" w:hAnsiTheme="minorHAnsi" w:cstheme="minorHAnsi"/>
                      <w:color w:val="000000"/>
                      <w:sz w:val="16"/>
                      <w:szCs w:val="16"/>
                      <w:lang w:val="es-419" w:eastAsia="es-419"/>
                    </w:rPr>
                    <w:t xml:space="preserve"> de análisis de necesidades de capacitación que se realiza cada año, pues esto  permite a la entidad  descubrir cuáles son los puntos débiles que se desean mejorar y aplicar la metodología más apropiada para ello. Si no se ponen en </w:t>
                  </w:r>
                  <w:r w:rsidR="00F85B8B" w:rsidRPr="007E5AEC">
                    <w:rPr>
                      <w:rFonts w:asciiTheme="minorHAnsi" w:eastAsia="Times New Roman" w:hAnsiTheme="minorHAnsi" w:cstheme="minorHAnsi"/>
                      <w:color w:val="000000"/>
                      <w:sz w:val="16"/>
                      <w:szCs w:val="16"/>
                      <w:lang w:val="es-419" w:eastAsia="es-419"/>
                    </w:rPr>
                    <w:t>práctica</w:t>
                  </w:r>
                  <w:r w:rsidRPr="007E5AEC">
                    <w:rPr>
                      <w:rFonts w:asciiTheme="minorHAnsi" w:eastAsia="Times New Roman" w:hAnsiTheme="minorHAnsi" w:cstheme="minorHAnsi"/>
                      <w:color w:val="000000"/>
                      <w:sz w:val="16"/>
                      <w:szCs w:val="16"/>
                      <w:lang w:val="es-419" w:eastAsia="es-419"/>
                    </w:rPr>
                    <w:t xml:space="preserve"> estos resultados obtenidos, la entidad se arriesga a aplicar metodologías incorrectas que implican un esfuerzo en gastos, tiempo y recursos que no solucionan el problema en cuestión. j) Se </w:t>
                  </w:r>
                  <w:r w:rsidR="00F85B8B" w:rsidRPr="007E5AEC">
                    <w:rPr>
                      <w:rFonts w:asciiTheme="minorHAnsi" w:eastAsia="Times New Roman" w:hAnsiTheme="minorHAnsi" w:cstheme="minorHAnsi"/>
                      <w:color w:val="000000"/>
                      <w:sz w:val="16"/>
                      <w:szCs w:val="16"/>
                      <w:lang w:val="es-419" w:eastAsia="es-419"/>
                    </w:rPr>
                    <w:t>evidencia en la</w:t>
                  </w:r>
                  <w:r w:rsidRPr="007E5AEC">
                    <w:rPr>
                      <w:rFonts w:asciiTheme="minorHAnsi" w:eastAsia="Times New Roman" w:hAnsiTheme="minorHAnsi" w:cstheme="minorHAnsi"/>
                      <w:color w:val="000000"/>
                      <w:sz w:val="16"/>
                      <w:szCs w:val="16"/>
                      <w:lang w:val="es-419" w:eastAsia="es-419"/>
                    </w:rPr>
                    <w:t xml:space="preserve"> verificación de las reuniones </w:t>
                  </w:r>
                  <w:r w:rsidR="00F85B8B" w:rsidRPr="007E5AEC">
                    <w:rPr>
                      <w:rFonts w:asciiTheme="minorHAnsi" w:eastAsia="Times New Roman" w:hAnsiTheme="minorHAnsi" w:cstheme="minorHAnsi"/>
                      <w:color w:val="000000"/>
                      <w:sz w:val="16"/>
                      <w:szCs w:val="16"/>
                      <w:lang w:val="es-419" w:eastAsia="es-419"/>
                    </w:rPr>
                    <w:t>del comité</w:t>
                  </w:r>
                  <w:r w:rsidRPr="007E5AEC">
                    <w:rPr>
                      <w:rFonts w:asciiTheme="minorHAnsi" w:eastAsia="Times New Roman" w:hAnsiTheme="minorHAnsi" w:cstheme="minorHAnsi"/>
                      <w:color w:val="000000"/>
                      <w:sz w:val="16"/>
                      <w:szCs w:val="16"/>
                      <w:lang w:val="es-419" w:eastAsia="es-419"/>
                    </w:rPr>
                    <w:t xml:space="preserve"> de personal y comité COOPAST y del cumplimiento de las reuniones del año 2020 que las actas que son el </w:t>
                  </w:r>
                  <w:r w:rsidR="00F85B8B" w:rsidRPr="007E5AEC">
                    <w:rPr>
                      <w:rFonts w:asciiTheme="minorHAnsi" w:eastAsia="Times New Roman" w:hAnsiTheme="minorHAnsi" w:cstheme="minorHAnsi"/>
                      <w:color w:val="000000"/>
                      <w:sz w:val="16"/>
                      <w:szCs w:val="16"/>
                      <w:lang w:val="es-419" w:eastAsia="es-419"/>
                    </w:rPr>
                    <w:t>documento soporte</w:t>
                  </w:r>
                  <w:r w:rsidRPr="007E5AEC">
                    <w:rPr>
                      <w:rFonts w:asciiTheme="minorHAnsi" w:eastAsia="Times New Roman" w:hAnsiTheme="minorHAnsi" w:cstheme="minorHAnsi"/>
                      <w:color w:val="000000"/>
                      <w:sz w:val="16"/>
                      <w:szCs w:val="16"/>
                      <w:lang w:val="es-419" w:eastAsia="es-419"/>
                    </w:rPr>
                    <w:t xml:space="preserve"> y válido para la toma de </w:t>
                  </w:r>
                  <w:r w:rsidR="00F85B8B" w:rsidRPr="007E5AEC">
                    <w:rPr>
                      <w:rFonts w:asciiTheme="minorHAnsi" w:eastAsia="Times New Roman" w:hAnsiTheme="minorHAnsi" w:cstheme="minorHAnsi"/>
                      <w:color w:val="000000"/>
                      <w:sz w:val="16"/>
                      <w:szCs w:val="16"/>
                      <w:lang w:val="es-419" w:eastAsia="es-419"/>
                    </w:rPr>
                    <w:t>decisiones</w:t>
                  </w:r>
                  <w:r w:rsidRPr="007E5AEC">
                    <w:rPr>
                      <w:rFonts w:asciiTheme="minorHAnsi" w:eastAsia="Times New Roman" w:hAnsiTheme="minorHAnsi" w:cstheme="minorHAnsi"/>
                      <w:color w:val="000000"/>
                      <w:sz w:val="16"/>
                      <w:szCs w:val="16"/>
                      <w:lang w:val="es-419" w:eastAsia="es-419"/>
                    </w:rPr>
                    <w:t xml:space="preserve"> que se encuentran algunas sin firma de los integrantes. Se recomienda   al área y las personas que conforman estos comités, la formalización correcta de dichos documentos, </w:t>
                  </w:r>
                  <w:r w:rsidR="00F85B8B" w:rsidRPr="007E5AEC">
                    <w:rPr>
                      <w:rFonts w:asciiTheme="minorHAnsi" w:eastAsia="Times New Roman" w:hAnsiTheme="minorHAnsi" w:cstheme="minorHAnsi"/>
                      <w:color w:val="000000"/>
                      <w:sz w:val="16"/>
                      <w:szCs w:val="16"/>
                      <w:lang w:val="es-419" w:eastAsia="es-419"/>
                    </w:rPr>
                    <w:t>que deben</w:t>
                  </w:r>
                  <w:r w:rsidRPr="007E5AEC">
                    <w:rPr>
                      <w:rFonts w:asciiTheme="minorHAnsi" w:eastAsia="Times New Roman" w:hAnsiTheme="minorHAnsi" w:cstheme="minorHAnsi"/>
                      <w:color w:val="000000"/>
                      <w:sz w:val="16"/>
                      <w:szCs w:val="16"/>
                      <w:lang w:val="es-419" w:eastAsia="es-419"/>
                    </w:rPr>
                    <w:t xml:space="preserve"> permanecer firmados y archivados de manera completa y segura para su validación. </w:t>
                  </w:r>
                </w:p>
              </w:tc>
            </w:tr>
          </w:tbl>
          <w:p w14:paraId="3F30B923" w14:textId="77777777" w:rsidR="007E5AEC" w:rsidRPr="004159A2" w:rsidRDefault="007E5AEC" w:rsidP="00CB4D6B">
            <w:pPr>
              <w:tabs>
                <w:tab w:val="left" w:pos="3420"/>
              </w:tabs>
              <w:spacing w:after="0" w:line="240" w:lineRule="auto"/>
              <w:jc w:val="both"/>
              <w:rPr>
                <w:rFonts w:ascii="Arial Narrow" w:hAnsi="Arial Narrow" w:cs="Arial"/>
              </w:rPr>
            </w:pPr>
          </w:p>
          <w:p w14:paraId="71C01DF1" w14:textId="2E3936E2" w:rsidR="00A67138" w:rsidRDefault="00A67138" w:rsidP="0029425F">
            <w:pPr>
              <w:spacing w:after="0" w:line="240" w:lineRule="auto"/>
              <w:jc w:val="both"/>
              <w:rPr>
                <w:rFonts w:ascii="Arial Narrow" w:hAnsi="Arial Narrow" w:cs="Arial"/>
              </w:rPr>
            </w:pPr>
          </w:p>
          <w:p w14:paraId="63FB37D1" w14:textId="773CEB84" w:rsidR="00E61633" w:rsidRDefault="00E61633" w:rsidP="0029425F">
            <w:pPr>
              <w:spacing w:after="0" w:line="240" w:lineRule="auto"/>
              <w:jc w:val="both"/>
              <w:rPr>
                <w:rFonts w:ascii="Arial Narrow" w:hAnsi="Arial Narrow" w:cs="Arial"/>
              </w:rPr>
            </w:pPr>
          </w:p>
          <w:p w14:paraId="0DDAAC0E" w14:textId="77777777" w:rsidR="00E61633" w:rsidRPr="004159A2" w:rsidRDefault="00E61633" w:rsidP="0029425F">
            <w:pPr>
              <w:spacing w:after="0" w:line="240" w:lineRule="auto"/>
              <w:jc w:val="both"/>
              <w:rPr>
                <w:rFonts w:ascii="Arial Narrow" w:hAnsi="Arial Narrow" w:cs="Arial"/>
              </w:rPr>
            </w:pPr>
          </w:p>
          <w:p w14:paraId="337B0965" w14:textId="6BCF446B" w:rsidR="001F56B0" w:rsidRPr="004159A2" w:rsidRDefault="00CB4D6B" w:rsidP="0029425F">
            <w:pPr>
              <w:spacing w:after="0" w:line="240" w:lineRule="auto"/>
              <w:jc w:val="both"/>
              <w:rPr>
                <w:rFonts w:ascii="Arial Narrow" w:hAnsi="Arial Narrow" w:cs="Arial"/>
              </w:rPr>
            </w:pPr>
            <w:r>
              <w:rPr>
                <w:rFonts w:ascii="Arial Narrow" w:hAnsi="Arial Narrow" w:cs="Arial"/>
              </w:rPr>
              <w:t>En la ejecución de las auditorías internas de gestión</w:t>
            </w:r>
            <w:r w:rsidR="00A67FF7">
              <w:rPr>
                <w:rFonts w:ascii="Arial Narrow" w:hAnsi="Arial Narrow" w:cs="Arial"/>
              </w:rPr>
              <w:t xml:space="preserve"> correspondientes al II trimestre del año 2021, </w:t>
            </w:r>
            <w:r>
              <w:rPr>
                <w:rFonts w:ascii="Arial Narrow" w:hAnsi="Arial Narrow" w:cs="Arial"/>
              </w:rPr>
              <w:t xml:space="preserve"> </w:t>
            </w:r>
            <w:r w:rsidRPr="004159A2">
              <w:rPr>
                <w:rFonts w:ascii="Arial Narrow" w:hAnsi="Arial Narrow" w:cs="Arial"/>
              </w:rPr>
              <w:t>se</w:t>
            </w:r>
            <w:r w:rsidR="005740BF" w:rsidRPr="004159A2">
              <w:rPr>
                <w:rFonts w:ascii="Arial Narrow" w:hAnsi="Arial Narrow" w:cs="Arial"/>
              </w:rPr>
              <w:t xml:space="preserve"> evidencia en </w:t>
            </w:r>
            <w:r w:rsidR="000C22CD" w:rsidRPr="004159A2">
              <w:rPr>
                <w:rFonts w:ascii="Arial Narrow" w:hAnsi="Arial Narrow" w:cs="Arial"/>
              </w:rPr>
              <w:t>los informes</w:t>
            </w:r>
            <w:r w:rsidR="00476642" w:rsidRPr="004159A2">
              <w:rPr>
                <w:rFonts w:ascii="Arial Narrow" w:hAnsi="Arial Narrow" w:cs="Arial"/>
              </w:rPr>
              <w:t xml:space="preserve"> realizados</w:t>
            </w:r>
            <w:r>
              <w:rPr>
                <w:rFonts w:ascii="Arial Narrow" w:hAnsi="Arial Narrow" w:cs="Arial"/>
              </w:rPr>
              <w:t xml:space="preserve"> que</w:t>
            </w:r>
            <w:r w:rsidR="005740BF" w:rsidRPr="004159A2">
              <w:rPr>
                <w:rFonts w:ascii="Arial Narrow" w:hAnsi="Arial Narrow" w:cs="Arial"/>
              </w:rPr>
              <w:t xml:space="preserve"> </w:t>
            </w:r>
            <w:r w:rsidR="000C22CD" w:rsidRPr="004159A2">
              <w:rPr>
                <w:rFonts w:ascii="Arial Narrow" w:hAnsi="Arial Narrow" w:cs="Arial"/>
              </w:rPr>
              <w:t>se generaron</w:t>
            </w:r>
            <w:r w:rsidR="00476642" w:rsidRPr="004159A2">
              <w:rPr>
                <w:rFonts w:ascii="Arial Narrow" w:hAnsi="Arial Narrow" w:cs="Arial"/>
              </w:rPr>
              <w:t xml:space="preserve"> situaciones </w:t>
            </w:r>
            <w:r w:rsidR="000C22CD" w:rsidRPr="004159A2">
              <w:rPr>
                <w:rFonts w:ascii="Arial Narrow" w:hAnsi="Arial Narrow" w:cs="Arial"/>
              </w:rPr>
              <w:t>de observaciones</w:t>
            </w:r>
            <w:r w:rsidR="00476642" w:rsidRPr="004159A2">
              <w:rPr>
                <w:rFonts w:ascii="Arial Narrow" w:hAnsi="Arial Narrow" w:cs="Arial"/>
              </w:rPr>
              <w:t xml:space="preserve"> y recomendaciones realizadas por la OCI, que con la</w:t>
            </w:r>
            <w:r w:rsidR="005740BF" w:rsidRPr="004159A2">
              <w:rPr>
                <w:rFonts w:ascii="Arial Narrow" w:hAnsi="Arial Narrow" w:cs="Arial"/>
              </w:rPr>
              <w:t xml:space="preserve"> efectividad en las </w:t>
            </w:r>
            <w:r w:rsidR="00476642" w:rsidRPr="004159A2">
              <w:rPr>
                <w:rFonts w:ascii="Arial Narrow" w:hAnsi="Arial Narrow" w:cs="Arial"/>
              </w:rPr>
              <w:t>medidas</w:t>
            </w:r>
            <w:r w:rsidR="005740BF" w:rsidRPr="004159A2">
              <w:rPr>
                <w:rFonts w:ascii="Arial Narrow" w:hAnsi="Arial Narrow" w:cs="Arial"/>
              </w:rPr>
              <w:t xml:space="preserve"> que </w:t>
            </w:r>
            <w:r w:rsidR="000C22CD" w:rsidRPr="004159A2">
              <w:rPr>
                <w:rFonts w:ascii="Arial Narrow" w:hAnsi="Arial Narrow" w:cs="Arial"/>
              </w:rPr>
              <w:t>se tomen</w:t>
            </w:r>
            <w:r w:rsidR="005740BF" w:rsidRPr="004159A2">
              <w:rPr>
                <w:rFonts w:ascii="Arial Narrow" w:hAnsi="Arial Narrow" w:cs="Arial"/>
              </w:rPr>
              <w:t xml:space="preserve"> en los procesos  </w:t>
            </w:r>
            <w:r w:rsidR="00476642" w:rsidRPr="004159A2">
              <w:rPr>
                <w:rFonts w:ascii="Arial Narrow" w:hAnsi="Arial Narrow" w:cs="Arial"/>
              </w:rPr>
              <w:t xml:space="preserve"> por parte d</w:t>
            </w:r>
            <w:r w:rsidR="005740BF" w:rsidRPr="004159A2">
              <w:rPr>
                <w:rFonts w:ascii="Arial Narrow" w:hAnsi="Arial Narrow" w:cs="Arial"/>
              </w:rPr>
              <w:t xml:space="preserve">e sus líderes y grupos de </w:t>
            </w:r>
            <w:r w:rsidR="000C22CD" w:rsidRPr="004159A2">
              <w:rPr>
                <w:rFonts w:ascii="Arial Narrow" w:hAnsi="Arial Narrow" w:cs="Arial"/>
              </w:rPr>
              <w:t>trabajo como</w:t>
            </w:r>
            <w:r w:rsidR="00476642" w:rsidRPr="004159A2">
              <w:rPr>
                <w:rFonts w:ascii="Arial Narrow" w:hAnsi="Arial Narrow" w:cs="Arial"/>
              </w:rPr>
              <w:t xml:space="preserve"> respuesta a las mismas, contribuyen con la mejora continu</w:t>
            </w:r>
            <w:r w:rsidR="005740BF" w:rsidRPr="004159A2">
              <w:rPr>
                <w:rFonts w:ascii="Arial Narrow" w:hAnsi="Arial Narrow" w:cs="Arial"/>
              </w:rPr>
              <w:t>a</w:t>
            </w:r>
            <w:r w:rsidR="00476642" w:rsidRPr="004159A2">
              <w:rPr>
                <w:rFonts w:ascii="Arial Narrow" w:hAnsi="Arial Narrow" w:cs="Arial"/>
              </w:rPr>
              <w:t xml:space="preserve">, a través del fortalecimiento de los procesos y procedimientos del Sistema Integrado de Gestión. </w:t>
            </w:r>
          </w:p>
          <w:p w14:paraId="4320CC19" w14:textId="77777777" w:rsidR="005740BF" w:rsidRPr="004159A2" w:rsidRDefault="005740BF" w:rsidP="0029425F">
            <w:pPr>
              <w:spacing w:after="0" w:line="240" w:lineRule="auto"/>
              <w:jc w:val="both"/>
              <w:rPr>
                <w:rFonts w:ascii="Arial Narrow" w:hAnsi="Arial Narrow" w:cs="Arial"/>
              </w:rPr>
            </w:pPr>
          </w:p>
          <w:p w14:paraId="3857F72A" w14:textId="5CFE1FED" w:rsidR="0029425F" w:rsidRPr="00CB4D6B" w:rsidRDefault="005740BF" w:rsidP="0029425F">
            <w:pPr>
              <w:spacing w:after="0" w:line="240" w:lineRule="auto"/>
              <w:jc w:val="both"/>
              <w:rPr>
                <w:rFonts w:ascii="Arial Narrow" w:hAnsi="Arial Narrow" w:cs="Arial"/>
              </w:rPr>
            </w:pPr>
            <w:r w:rsidRPr="004159A2">
              <w:rPr>
                <w:rFonts w:ascii="Arial Narrow" w:hAnsi="Arial Narrow" w:cs="Arial"/>
              </w:rPr>
              <w:t>Estas r</w:t>
            </w:r>
            <w:r w:rsidR="008037C4" w:rsidRPr="004159A2">
              <w:rPr>
                <w:rFonts w:ascii="Arial Narrow" w:hAnsi="Arial Narrow" w:cs="Arial"/>
              </w:rPr>
              <w:t>ecomendaciones</w:t>
            </w:r>
            <w:r w:rsidRPr="004159A2">
              <w:rPr>
                <w:rFonts w:ascii="Arial Narrow" w:hAnsi="Arial Narrow" w:cs="Arial"/>
              </w:rPr>
              <w:t xml:space="preserve"> y </w:t>
            </w:r>
            <w:r w:rsidR="000C22CD" w:rsidRPr="004159A2">
              <w:rPr>
                <w:rFonts w:ascii="Arial Narrow" w:hAnsi="Arial Narrow" w:cs="Arial"/>
              </w:rPr>
              <w:t>observaciones son</w:t>
            </w:r>
            <w:r w:rsidRPr="004159A2">
              <w:rPr>
                <w:rFonts w:ascii="Arial Narrow" w:hAnsi="Arial Narrow" w:cs="Arial"/>
              </w:rPr>
              <w:t xml:space="preserve"> </w:t>
            </w:r>
            <w:r w:rsidR="000C22CD" w:rsidRPr="004159A2">
              <w:rPr>
                <w:rFonts w:ascii="Arial Narrow" w:hAnsi="Arial Narrow" w:cs="Arial"/>
              </w:rPr>
              <w:t>un alcance</w:t>
            </w:r>
            <w:r w:rsidR="008037C4" w:rsidRPr="004159A2">
              <w:rPr>
                <w:rFonts w:ascii="Arial Narrow" w:hAnsi="Arial Narrow" w:cs="Arial"/>
              </w:rPr>
              <w:t xml:space="preserve"> preventivo</w:t>
            </w:r>
            <w:r w:rsidRPr="004159A2">
              <w:rPr>
                <w:rFonts w:ascii="Arial Narrow" w:hAnsi="Arial Narrow" w:cs="Arial"/>
              </w:rPr>
              <w:t xml:space="preserve"> que </w:t>
            </w:r>
            <w:r w:rsidR="008037C4" w:rsidRPr="004159A2">
              <w:rPr>
                <w:rFonts w:ascii="Arial Narrow" w:hAnsi="Arial Narrow" w:cs="Arial"/>
              </w:rPr>
              <w:t>permit</w:t>
            </w:r>
            <w:r w:rsidRPr="004159A2">
              <w:rPr>
                <w:rFonts w:ascii="Arial Narrow" w:hAnsi="Arial Narrow" w:cs="Arial"/>
              </w:rPr>
              <w:t>en</w:t>
            </w:r>
            <w:r w:rsidR="008037C4" w:rsidRPr="004159A2">
              <w:rPr>
                <w:rFonts w:ascii="Arial Narrow" w:hAnsi="Arial Narrow" w:cs="Arial"/>
              </w:rPr>
              <w:t xml:space="preserve"> ofrecer un valor agregado a la gestión </w:t>
            </w:r>
            <w:r w:rsidR="000C22CD" w:rsidRPr="004159A2">
              <w:rPr>
                <w:rFonts w:ascii="Arial Narrow" w:hAnsi="Arial Narrow" w:cs="Arial"/>
              </w:rPr>
              <w:t>de Superintendencia</w:t>
            </w:r>
            <w:r w:rsidRPr="004159A2">
              <w:rPr>
                <w:rFonts w:ascii="Arial Narrow" w:hAnsi="Arial Narrow" w:cs="Arial"/>
              </w:rPr>
              <w:t xml:space="preserve">: </w:t>
            </w:r>
          </w:p>
          <w:p w14:paraId="3FC0F2D3" w14:textId="68305740" w:rsidR="0029425F" w:rsidRPr="004159A2" w:rsidRDefault="0029425F" w:rsidP="0029425F">
            <w:pPr>
              <w:spacing w:after="0" w:line="240" w:lineRule="auto"/>
              <w:jc w:val="both"/>
              <w:rPr>
                <w:rFonts w:ascii="Arial" w:hAnsi="Arial" w:cs="Arial"/>
                <w:b/>
                <w:sz w:val="16"/>
                <w:szCs w:val="16"/>
              </w:rPr>
            </w:pPr>
          </w:p>
          <w:p w14:paraId="219020D9" w14:textId="3148DC35" w:rsidR="0029425F" w:rsidRPr="004159A2" w:rsidRDefault="0029425F" w:rsidP="0029425F">
            <w:pPr>
              <w:spacing w:after="0" w:line="240" w:lineRule="auto"/>
              <w:jc w:val="both"/>
              <w:rPr>
                <w:rFonts w:ascii="Arial" w:hAnsi="Arial" w:cs="Arial"/>
                <w:b/>
                <w:sz w:val="16"/>
                <w:szCs w:val="16"/>
              </w:rPr>
            </w:pPr>
          </w:p>
          <w:p w14:paraId="533499A5" w14:textId="23F73838" w:rsidR="0029425F" w:rsidRPr="004159A2" w:rsidRDefault="0029425F" w:rsidP="0029425F">
            <w:pPr>
              <w:spacing w:after="0" w:line="240" w:lineRule="auto"/>
              <w:jc w:val="both"/>
              <w:rPr>
                <w:rFonts w:ascii="Arial" w:hAnsi="Arial" w:cs="Arial"/>
                <w:b/>
                <w:sz w:val="16"/>
                <w:szCs w:val="16"/>
              </w:rPr>
            </w:pPr>
          </w:p>
          <w:tbl>
            <w:tblPr>
              <w:tblW w:w="9421" w:type="dxa"/>
              <w:tblCellMar>
                <w:left w:w="70" w:type="dxa"/>
                <w:right w:w="70" w:type="dxa"/>
              </w:tblCellMar>
              <w:tblLook w:val="04A0" w:firstRow="1" w:lastRow="0" w:firstColumn="1" w:lastColumn="0" w:noHBand="0" w:noVBand="1"/>
            </w:tblPr>
            <w:tblGrid>
              <w:gridCol w:w="1766"/>
              <w:gridCol w:w="7655"/>
            </w:tblGrid>
            <w:tr w:rsidR="00CA1655" w:rsidRPr="00CA1655" w14:paraId="177943CA" w14:textId="77777777" w:rsidTr="00BE3107">
              <w:trPr>
                <w:trHeight w:val="1715"/>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EAEA0" w14:textId="77777777" w:rsidR="00CA1655" w:rsidRPr="00CA1655" w:rsidRDefault="00CA1655" w:rsidP="00CA1655">
                  <w:pPr>
                    <w:spacing w:after="0" w:line="240" w:lineRule="auto"/>
                    <w:jc w:val="center"/>
                    <w:rPr>
                      <w:rFonts w:ascii="Arial" w:eastAsia="Times New Roman" w:hAnsi="Arial" w:cs="Arial"/>
                      <w:b/>
                      <w:bCs/>
                      <w:color w:val="000000"/>
                      <w:sz w:val="18"/>
                      <w:szCs w:val="18"/>
                      <w:lang w:val="es-419" w:eastAsia="es-419"/>
                    </w:rPr>
                  </w:pPr>
                  <w:r w:rsidRPr="00CA1655">
                    <w:rPr>
                      <w:rFonts w:ascii="Arial" w:eastAsia="Times New Roman" w:hAnsi="Arial" w:cs="Arial"/>
                      <w:b/>
                      <w:bCs/>
                      <w:color w:val="000000"/>
                      <w:sz w:val="18"/>
                      <w:szCs w:val="18"/>
                      <w:lang w:val="es-419" w:eastAsia="es-419"/>
                    </w:rPr>
                    <w:lastRenderedPageBreak/>
                    <w:t>Control Financiero Contable de las CCF.</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43DF1FD" w14:textId="664F9C45" w:rsidR="00CA1655" w:rsidRPr="00CA1655" w:rsidRDefault="00CA1655" w:rsidP="00BE3107">
                  <w:pPr>
                    <w:spacing w:after="0" w:line="240" w:lineRule="auto"/>
                    <w:jc w:val="both"/>
                    <w:rPr>
                      <w:rFonts w:eastAsia="Times New Roman" w:cs="Calibri"/>
                      <w:color w:val="000000"/>
                      <w:sz w:val="16"/>
                      <w:szCs w:val="16"/>
                      <w:lang w:val="es-419" w:eastAsia="es-419"/>
                    </w:rPr>
                  </w:pPr>
                  <w:r w:rsidRPr="00CA1655">
                    <w:rPr>
                      <w:rFonts w:eastAsia="Times New Roman" w:cs="Calibri"/>
                      <w:color w:val="000000"/>
                      <w:sz w:val="16"/>
                      <w:szCs w:val="16"/>
                      <w:lang w:val="es-419" w:eastAsia="es-419"/>
                    </w:rPr>
                    <w:t>1. Se recomienda que una vez pasada la emergencia sanitaria declarada por el Ministerio de Salud y Protección Social, y que la Superintendencia autorice a los funcionarios asistir a las oficinas, los documentos que fueron originados y que a su vez requieren firma original de los respectivos responsables, sean tramitados y archivados en sus respectivas carpetas. 2. Mediante correos electrónico, se solicitó al proceso una información para que la allegará a más tardar el 11 de junio de 2021, para así realizar las</w:t>
                  </w:r>
                  <w:r>
                    <w:rPr>
                      <w:rFonts w:eastAsia="Times New Roman" w:cs="Calibri"/>
                      <w:color w:val="000000"/>
                      <w:sz w:val="16"/>
                      <w:szCs w:val="16"/>
                      <w:lang w:val="es-419" w:eastAsia="es-419"/>
                    </w:rPr>
                    <w:t xml:space="preserve"> </w:t>
                  </w:r>
                  <w:r w:rsidRPr="00CA1655">
                    <w:rPr>
                      <w:rFonts w:eastAsia="Times New Roman" w:cs="Calibri"/>
                      <w:color w:val="000000"/>
                      <w:sz w:val="16"/>
                      <w:szCs w:val="16"/>
                      <w:lang w:val="es-419" w:eastAsia="es-419"/>
                    </w:rPr>
                    <w:t>verificaciones pertinentes, esta información fue recibida hasta el día 25 de junio, lo cual interfiere con los plazos establecidos para el desarrollo de la auditoria. Por lo anterior se recomienda al proceso en una próxima auditoria coordinar mejor la entrega de la información con el equipo de trabajo y los auditores.</w:t>
                  </w:r>
                </w:p>
              </w:tc>
            </w:tr>
          </w:tbl>
          <w:p w14:paraId="5E3477AF" w14:textId="027C98E9" w:rsidR="0029425F" w:rsidRDefault="0029425F" w:rsidP="0029425F">
            <w:pPr>
              <w:spacing w:after="0" w:line="240" w:lineRule="auto"/>
              <w:jc w:val="both"/>
              <w:rPr>
                <w:rFonts w:ascii="Arial" w:hAnsi="Arial" w:cs="Arial"/>
                <w:b/>
                <w:sz w:val="16"/>
                <w:szCs w:val="16"/>
              </w:rPr>
            </w:pPr>
          </w:p>
          <w:p w14:paraId="2A7F3F83" w14:textId="51339D0D" w:rsidR="00CA1655" w:rsidRPr="004159A2" w:rsidRDefault="00CA1655" w:rsidP="0029425F">
            <w:pPr>
              <w:spacing w:after="0" w:line="240" w:lineRule="auto"/>
              <w:jc w:val="both"/>
              <w:rPr>
                <w:rFonts w:ascii="Arial" w:hAnsi="Arial" w:cs="Arial"/>
                <w:b/>
                <w:sz w:val="16"/>
                <w:szCs w:val="16"/>
              </w:rPr>
            </w:pPr>
          </w:p>
          <w:p w14:paraId="461DD147" w14:textId="00F25FFF" w:rsidR="0029425F" w:rsidRPr="004159A2" w:rsidRDefault="0029425F" w:rsidP="0029425F">
            <w:pPr>
              <w:spacing w:after="0" w:line="240" w:lineRule="auto"/>
              <w:jc w:val="both"/>
              <w:rPr>
                <w:rFonts w:ascii="Arial" w:hAnsi="Arial" w:cs="Arial"/>
                <w:b/>
                <w:sz w:val="16"/>
                <w:szCs w:val="16"/>
              </w:rPr>
            </w:pPr>
          </w:p>
          <w:tbl>
            <w:tblPr>
              <w:tblW w:w="0" w:type="auto"/>
              <w:tblCellMar>
                <w:left w:w="70" w:type="dxa"/>
                <w:right w:w="70" w:type="dxa"/>
              </w:tblCellMar>
              <w:tblLook w:val="04A0" w:firstRow="1" w:lastRow="0" w:firstColumn="1" w:lastColumn="0" w:noHBand="0" w:noVBand="1"/>
            </w:tblPr>
            <w:tblGrid>
              <w:gridCol w:w="1766"/>
              <w:gridCol w:w="7762"/>
            </w:tblGrid>
            <w:tr w:rsidR="00BE3107" w:rsidRPr="00BE3107" w14:paraId="4A8C7C25" w14:textId="77777777" w:rsidTr="00BE3107">
              <w:trPr>
                <w:trHeight w:val="9155"/>
              </w:trPr>
              <w:tc>
                <w:tcPr>
                  <w:tcW w:w="1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330B1" w14:textId="77777777" w:rsidR="00BE3107" w:rsidRPr="00BE3107" w:rsidRDefault="00BE3107" w:rsidP="00BE3107">
                  <w:pPr>
                    <w:spacing w:after="0" w:line="240" w:lineRule="auto"/>
                    <w:jc w:val="center"/>
                    <w:rPr>
                      <w:rFonts w:ascii="Arial" w:eastAsia="Times New Roman" w:hAnsi="Arial" w:cs="Arial"/>
                      <w:b/>
                      <w:bCs/>
                      <w:color w:val="000000"/>
                      <w:sz w:val="18"/>
                      <w:szCs w:val="18"/>
                      <w:lang w:val="es-419" w:eastAsia="es-419"/>
                    </w:rPr>
                  </w:pPr>
                  <w:r w:rsidRPr="00BE3107">
                    <w:rPr>
                      <w:rFonts w:ascii="Arial" w:eastAsia="Times New Roman" w:hAnsi="Arial" w:cs="Arial"/>
                      <w:b/>
                      <w:bCs/>
                      <w:color w:val="000000"/>
                      <w:sz w:val="18"/>
                      <w:szCs w:val="18"/>
                      <w:lang w:val="es-419" w:eastAsia="es-419"/>
                    </w:rPr>
                    <w:t>Control Legal de Cajas de Compensación Familiar</w:t>
                  </w:r>
                </w:p>
              </w:tc>
              <w:tc>
                <w:tcPr>
                  <w:tcW w:w="7762" w:type="dxa"/>
                  <w:tcBorders>
                    <w:top w:val="single" w:sz="4" w:space="0" w:color="auto"/>
                    <w:left w:val="nil"/>
                    <w:bottom w:val="single" w:sz="4" w:space="0" w:color="auto"/>
                    <w:right w:val="single" w:sz="4" w:space="0" w:color="auto"/>
                  </w:tcBorders>
                  <w:shd w:val="clear" w:color="auto" w:fill="auto"/>
                  <w:vAlign w:val="bottom"/>
                  <w:hideMark/>
                </w:tcPr>
                <w:p w14:paraId="30BFD649" w14:textId="19622B92" w:rsidR="00BE3107" w:rsidRPr="00BE3107" w:rsidRDefault="00BE3107" w:rsidP="00BE3107">
                  <w:pPr>
                    <w:spacing w:after="0" w:line="240" w:lineRule="auto"/>
                    <w:jc w:val="both"/>
                    <w:rPr>
                      <w:rFonts w:eastAsia="Times New Roman" w:cs="Calibri"/>
                      <w:color w:val="000000"/>
                      <w:sz w:val="16"/>
                      <w:szCs w:val="16"/>
                      <w:lang w:val="es-419" w:eastAsia="es-419"/>
                    </w:rPr>
                  </w:pPr>
                  <w:r w:rsidRPr="00BE3107">
                    <w:rPr>
                      <w:rFonts w:eastAsia="Times New Roman" w:cs="Calibri"/>
                      <w:color w:val="000000"/>
                      <w:sz w:val="16"/>
                      <w:szCs w:val="16"/>
                      <w:lang w:val="es-419" w:eastAsia="es-419"/>
                    </w:rPr>
                    <w:t>• En cuanto a la documentación del proceso en el Sistema Integrado de Gestión, verificar las observaciones realizadas en la presente auditoria con el fin de que sean subsanadas las situaciones encontradas en lo que respecta a los procedimientos, tales como: - Documentar las actividades que se desarrollan en las investigaciones administrativas, además de contemplar plazos a las mismas y que la norma no establezca lo que va a permitir actuar con celeridad en las actuaciones, y evitar la eventual dilación que pueden materializar la caducidad de la facultad sancionatoria de la SSF. - Considerar la actualización del procedimiento las actividades a cargo del Coordinador el Grupo, y en cuanto a la actividad “IVC a Entidades que entren en procesos de vigilancia especial, salvamento, intervención, administración o liquidación. Evaluación de la Información”, asimismo se recomienda definir un plazo para la elaboración del informe evaluativo y su envío al Superintendente del Subsidio Familiar, de tal manera que les permita llevar un control en su elaboración y remisión. - Revisar la normatividad relacionada en los procedimientos y realizar las actualizaciones necesarias y pertinentes. - Verificar los formatos relacionados en los procedimientos y velar por su adecuada implementación.</w:t>
                  </w:r>
                  <w:r w:rsidRPr="00BE3107">
                    <w:rPr>
                      <w:rFonts w:eastAsia="Times New Roman" w:cs="Calibri"/>
                      <w:color w:val="000000"/>
                      <w:sz w:val="16"/>
                      <w:szCs w:val="16"/>
                      <w:lang w:val="es-419" w:eastAsia="es-419"/>
                    </w:rPr>
                    <w:br/>
                    <w:t>• Se recomienda adoptar medidas internas que garanticen que, los expedientes de las averiguaciones preliminares e investigaciones administrativas se encuentren adecuadamente organizados, y dispuestos de tal manera que guardan el principio de orden original de tal forma que haya una fácil comprensión de estos y cuenten con toda la información y en general con todas las actuaciones preceptuadas en la normatividad vigente aplicable. En el mismo sentido, organizar por expediente los registros que se generan del procedimiento de medidas cautelares.</w:t>
                  </w:r>
                  <w:r w:rsidRPr="00BE3107">
                    <w:rPr>
                      <w:rFonts w:eastAsia="Times New Roman" w:cs="Calibri"/>
                      <w:color w:val="000000"/>
                      <w:sz w:val="16"/>
                      <w:szCs w:val="16"/>
                      <w:lang w:val="es-419" w:eastAsia="es-419"/>
                    </w:rPr>
                    <w:br/>
                    <w:t xml:space="preserve">• Es importante que en la base datos del procedimiento aprobación-improbación de las decisiones de asambleas, que se encuentra establecido como documento generado en el procedimiento y que lleva la trazabilidad y el seguimiento de las asambleas, se incluya dentro de los datos registrados el No del RCC   en el cual se registra cada una de las actividades que se ejecutan, siendo este dato un factor específico para identificar el cumplimiento de la normatividad con mayor facilidad y efectividad. </w:t>
                  </w:r>
                  <w:r w:rsidRPr="00BE3107">
                    <w:rPr>
                      <w:rFonts w:eastAsia="Times New Roman" w:cs="Calibri"/>
                      <w:color w:val="000000"/>
                      <w:sz w:val="16"/>
                      <w:szCs w:val="16"/>
                      <w:lang w:val="es-419" w:eastAsia="es-419"/>
                    </w:rPr>
                    <w:br/>
                    <w:t>• Referente al procedimiento “Expedición de certificaciones de existencia y representación leg</w:t>
                  </w:r>
                  <w:r>
                    <w:rPr>
                      <w:rFonts w:eastAsia="Times New Roman" w:cs="Calibri"/>
                      <w:color w:val="000000"/>
                      <w:sz w:val="16"/>
                      <w:szCs w:val="16"/>
                      <w:lang w:val="es-419" w:eastAsia="es-419"/>
                    </w:rPr>
                    <w:t xml:space="preserve">al de las entidades vigiladas”: </w:t>
                  </w:r>
                  <w:r w:rsidRPr="00BE3107">
                    <w:rPr>
                      <w:rFonts w:eastAsia="Times New Roman" w:cs="Calibri"/>
                      <w:color w:val="000000"/>
                      <w:sz w:val="16"/>
                      <w:szCs w:val="16"/>
                      <w:lang w:val="es-419" w:eastAsia="es-419"/>
                    </w:rPr>
                    <w:t>- Se recomienda implementar un control que permita mantener actualizada la información de la base de datos de las CCF asegurando así que la gestión sobre la información registrada en el aplicativo sea la misma que se registra en el archivo en Excel de manera efectiva y real en la expedición de certificados. - Se recomienda que todas las solicitudes de certificaciones de existencia y representación legal queden registradas dentro de la herramienta ESIGNA, debido que es la plataforma de gestión documental adoptada por la entidad para llevar este trámite y su trazabilidad. - Considerar la importancia de implementar un control para el seguimiento y evaluación de la información que sale teniendo como objetivo verificación de la calidad de la información y el cumplimiento de la norma, evitando confusión en los documentos entregados.</w:t>
                  </w:r>
                  <w:r w:rsidRPr="00BE3107">
                    <w:rPr>
                      <w:rFonts w:eastAsia="Times New Roman" w:cs="Calibri"/>
                      <w:color w:val="000000"/>
                      <w:sz w:val="16"/>
                      <w:szCs w:val="16"/>
                      <w:lang w:val="es-419" w:eastAsia="es-419"/>
                    </w:rPr>
                    <w:br/>
                    <w:t>• Es adecuado implementar un control sobre los procedimientos establecidos que permita tener una trazabilidad a la información y actividades que son requeridas para el cumplimiento de las funciones que cumple la SSF. Ya que existen registros que no se puede determinar de manera cronológica y ordenada de la trazabilidad de la información del procedimiento, debido que hace falta información dentro del registro de Excel que se lleva.</w:t>
                  </w:r>
                  <w:r w:rsidRPr="00BE3107">
                    <w:rPr>
                      <w:rFonts w:eastAsia="Times New Roman" w:cs="Calibri"/>
                      <w:color w:val="000000"/>
                      <w:sz w:val="16"/>
                      <w:szCs w:val="16"/>
                      <w:lang w:val="es-419" w:eastAsia="es-419"/>
                    </w:rPr>
                    <w:br/>
                    <w:t>• Referente al procedimiento “Registro de designación de consejeros directivos por trabajadores”, se recomienda que la información registrada en el archivo en Excel tenga títulos descriptivos, con orden cronológico, fechas de envió y recibido, mejorando el detalle de la información registrada obteniendo un mejor seguimiento y calidad de la información.</w:t>
                  </w:r>
                  <w:r w:rsidRPr="00BE3107">
                    <w:rPr>
                      <w:rFonts w:eastAsia="Times New Roman" w:cs="Calibri"/>
                      <w:color w:val="000000"/>
                      <w:sz w:val="16"/>
                      <w:szCs w:val="16"/>
                      <w:lang w:val="es-419" w:eastAsia="es-419"/>
                    </w:rPr>
                    <w:br/>
                    <w:t>• Se recomienda asegurarse de que los documentos u oficios expedidos sean debidamente firmados por el funcionario responsable, teniendo en cuenta que en la auditoría la oficina de control interno observó documentos que no contaban con la respectiva firma, observando con ello la falta de cuidado con la información que se sube a la plataforma y el seguimiento al oficio de requerimiento quedando inconcluso (sin firma).</w:t>
                  </w:r>
                  <w:r w:rsidRPr="00BE3107">
                    <w:rPr>
                      <w:rFonts w:eastAsia="Times New Roman" w:cs="Calibri"/>
                      <w:color w:val="000000"/>
                      <w:sz w:val="16"/>
                      <w:szCs w:val="16"/>
                      <w:lang w:val="es-419" w:eastAsia="es-419"/>
                    </w:rPr>
                    <w:br/>
                    <w:t>• Se recomienda realizar una adecuada programación de las actividades frente a productos o entregables, indicadores y fórmulas de cálculo definidas en el plan de acción, así como asegurar las evidencias que soportan el cumplimiento en la realización de las mismas.</w:t>
                  </w:r>
                </w:p>
              </w:tc>
            </w:tr>
          </w:tbl>
          <w:p w14:paraId="577051C5" w14:textId="72A4412E" w:rsidR="004159A2" w:rsidRDefault="004159A2" w:rsidP="0029425F">
            <w:pPr>
              <w:spacing w:after="0" w:line="240" w:lineRule="auto"/>
              <w:jc w:val="both"/>
              <w:rPr>
                <w:rFonts w:ascii="Arial" w:hAnsi="Arial" w:cs="Arial"/>
                <w:b/>
                <w:sz w:val="16"/>
                <w:szCs w:val="16"/>
              </w:rPr>
            </w:pPr>
          </w:p>
          <w:p w14:paraId="49579842" w14:textId="229E9012" w:rsidR="004159A2" w:rsidRDefault="004159A2" w:rsidP="0029425F">
            <w:pPr>
              <w:spacing w:after="0" w:line="240" w:lineRule="auto"/>
              <w:jc w:val="both"/>
              <w:rPr>
                <w:rFonts w:ascii="Arial Narrow" w:hAnsi="Arial Narrow" w:cs="Arial"/>
                <w:b/>
              </w:rPr>
            </w:pPr>
          </w:p>
          <w:p w14:paraId="3809BB8F" w14:textId="2DEC18AF" w:rsidR="00BE3107" w:rsidRDefault="00BE3107" w:rsidP="0029425F">
            <w:pPr>
              <w:spacing w:after="0" w:line="240" w:lineRule="auto"/>
              <w:jc w:val="both"/>
              <w:rPr>
                <w:rFonts w:ascii="Arial Narrow" w:hAnsi="Arial Narrow" w:cs="Arial"/>
                <w:b/>
              </w:rPr>
            </w:pPr>
          </w:p>
          <w:p w14:paraId="557BC545" w14:textId="2BF809FB" w:rsidR="00BE3107" w:rsidRDefault="00BE3107" w:rsidP="0029425F">
            <w:pPr>
              <w:spacing w:after="0" w:line="240" w:lineRule="auto"/>
              <w:jc w:val="both"/>
              <w:rPr>
                <w:rFonts w:ascii="Arial Narrow" w:hAnsi="Arial Narrow" w:cs="Arial"/>
                <w:b/>
              </w:rPr>
            </w:pPr>
          </w:p>
          <w:p w14:paraId="65A3AFCF" w14:textId="6CFCD4CF" w:rsidR="00BE3107" w:rsidRDefault="00BE3107" w:rsidP="0029425F">
            <w:pPr>
              <w:spacing w:after="0" w:line="240" w:lineRule="auto"/>
              <w:jc w:val="both"/>
              <w:rPr>
                <w:rFonts w:ascii="Arial Narrow" w:hAnsi="Arial Narrow" w:cs="Arial"/>
                <w:b/>
              </w:rPr>
            </w:pPr>
          </w:p>
          <w:tbl>
            <w:tblPr>
              <w:tblW w:w="0" w:type="auto"/>
              <w:tblCellMar>
                <w:left w:w="70" w:type="dxa"/>
                <w:right w:w="70" w:type="dxa"/>
              </w:tblCellMar>
              <w:tblLook w:val="04A0" w:firstRow="1" w:lastRow="0" w:firstColumn="1" w:lastColumn="0" w:noHBand="0" w:noVBand="1"/>
            </w:tblPr>
            <w:tblGrid>
              <w:gridCol w:w="1757"/>
              <w:gridCol w:w="7771"/>
            </w:tblGrid>
            <w:tr w:rsidR="00BE3107" w:rsidRPr="00CA1655" w14:paraId="7D75F18F" w14:textId="77777777" w:rsidTr="00BE3107">
              <w:trPr>
                <w:trHeight w:val="4051"/>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3A3E" w14:textId="77777777" w:rsidR="00BE3107" w:rsidRPr="00CA1655" w:rsidRDefault="00BE3107" w:rsidP="00BE3107">
                  <w:pPr>
                    <w:spacing w:after="0" w:line="240" w:lineRule="auto"/>
                    <w:jc w:val="center"/>
                    <w:rPr>
                      <w:rFonts w:ascii="Arial" w:eastAsia="Times New Roman" w:hAnsi="Arial" w:cs="Arial"/>
                      <w:b/>
                      <w:bCs/>
                      <w:color w:val="000000"/>
                      <w:sz w:val="18"/>
                      <w:szCs w:val="18"/>
                      <w:lang w:val="es-419" w:eastAsia="es-419"/>
                    </w:rPr>
                  </w:pPr>
                  <w:r w:rsidRPr="00CA1655">
                    <w:rPr>
                      <w:rFonts w:ascii="Arial" w:eastAsia="Times New Roman" w:hAnsi="Arial" w:cs="Arial"/>
                      <w:b/>
                      <w:bCs/>
                      <w:color w:val="000000"/>
                      <w:sz w:val="18"/>
                      <w:szCs w:val="18"/>
                      <w:lang w:val="es-419" w:eastAsia="es-419"/>
                    </w:rPr>
                    <w:lastRenderedPageBreak/>
                    <w:t>Estudios Especiales y Evaluación de Proyectos</w:t>
                  </w:r>
                </w:p>
              </w:tc>
              <w:tc>
                <w:tcPr>
                  <w:tcW w:w="7771" w:type="dxa"/>
                  <w:tcBorders>
                    <w:top w:val="single" w:sz="4" w:space="0" w:color="auto"/>
                    <w:left w:val="nil"/>
                    <w:bottom w:val="single" w:sz="4" w:space="0" w:color="auto"/>
                    <w:right w:val="single" w:sz="4" w:space="0" w:color="auto"/>
                  </w:tcBorders>
                  <w:shd w:val="clear" w:color="auto" w:fill="auto"/>
                  <w:vAlign w:val="bottom"/>
                  <w:hideMark/>
                </w:tcPr>
                <w:p w14:paraId="21CE2BE0" w14:textId="77777777" w:rsidR="00BE3107" w:rsidRPr="00CA1655" w:rsidRDefault="00BE3107" w:rsidP="00BE3107">
                  <w:pPr>
                    <w:spacing w:after="0" w:line="240" w:lineRule="auto"/>
                    <w:jc w:val="both"/>
                    <w:rPr>
                      <w:rFonts w:eastAsia="Times New Roman" w:cs="Calibri"/>
                      <w:color w:val="000000"/>
                      <w:sz w:val="16"/>
                      <w:szCs w:val="16"/>
                      <w:lang w:val="es-419" w:eastAsia="es-419"/>
                    </w:rPr>
                  </w:pPr>
                  <w:r w:rsidRPr="00CA1655">
                    <w:rPr>
                      <w:rFonts w:eastAsia="Times New Roman" w:cs="Calibri"/>
                      <w:color w:val="000000"/>
                      <w:sz w:val="16"/>
                      <w:szCs w:val="16"/>
                      <w:lang w:val="es-419" w:eastAsia="es-419"/>
                    </w:rPr>
                    <w:t xml:space="preserve">Enfatizamos como Oficina de Control Interno, la importancia del enfoque a procesos que implica la definición y gestión sistemática de los mismos y sus interacciones, para así, continuar alcanzando los resultados previstos de acuerdo con la política de la calidad y la dirección estratégica de la organización, y dando cumplimiento a la normatividad vigente en el cumplimiento de sus términos. </w:t>
                  </w:r>
                  <w:r w:rsidRPr="00CA1655">
                    <w:rPr>
                      <w:rFonts w:ascii="Segoe UI Symbol" w:eastAsia="Times New Roman" w:hAnsi="Segoe UI Symbol" w:cs="Segoe UI Symbol"/>
                      <w:color w:val="000000"/>
                      <w:sz w:val="16"/>
                      <w:szCs w:val="16"/>
                      <w:lang w:val="es-419" w:eastAsia="es-419"/>
                    </w:rPr>
                    <w:t>➢</w:t>
                  </w:r>
                  <w:r w:rsidRPr="00CA1655">
                    <w:rPr>
                      <w:rFonts w:eastAsia="Times New Roman" w:cs="Calibri"/>
                      <w:color w:val="000000"/>
                      <w:sz w:val="16"/>
                      <w:szCs w:val="16"/>
                      <w:lang w:val="es-419" w:eastAsia="es-419"/>
                    </w:rPr>
                    <w:t xml:space="preserve"> Se recomienda por parte de la Oficina de Control Interno dar cumplimiento las funciones de inspección y vigilancia de la Superintendencia Delegada para Estudios Especiales y la Evaluación de Proyectos a través del seguimiento a los proyectos de inversión, especificando periodicidades en las actividades de los procedimientos, para así continuar dando cumplimiento con el objeto de Inspección, vigilancia y control. </w:t>
                  </w:r>
                  <w:r w:rsidRPr="00CA1655">
                    <w:rPr>
                      <w:rFonts w:ascii="Segoe UI Symbol" w:eastAsia="Times New Roman" w:hAnsi="Segoe UI Symbol" w:cs="Segoe UI Symbol"/>
                      <w:color w:val="000000"/>
                      <w:sz w:val="16"/>
                      <w:szCs w:val="16"/>
                      <w:lang w:val="es-419" w:eastAsia="es-419"/>
                    </w:rPr>
                    <w:t>➢</w:t>
                  </w:r>
                  <w:r w:rsidRPr="00CA1655">
                    <w:rPr>
                      <w:rFonts w:eastAsia="Times New Roman" w:cs="Calibri"/>
                      <w:color w:val="000000"/>
                      <w:sz w:val="16"/>
                      <w:szCs w:val="16"/>
                      <w:lang w:val="es-419" w:eastAsia="es-419"/>
                    </w:rPr>
                    <w:t xml:space="preserve"> La Oficina de Control Interno recomienda que al momento de realizar la planeación de las actividades en el plan de acción de la vigencia queden debidamente estructurado y estableciendo de manera eficaz los plazos de cumplimiento, para que dé esta manera no se vea afectado el planeamiento</w:t>
                  </w:r>
                  <w:r w:rsidRPr="00CA1655">
                    <w:rPr>
                      <w:rFonts w:eastAsia="Times New Roman" w:cs="Calibri"/>
                      <w:color w:val="000000"/>
                      <w:sz w:val="16"/>
                      <w:szCs w:val="16"/>
                      <w:lang w:val="es-419" w:eastAsia="es-419"/>
                    </w:rPr>
                    <w:br/>
                    <w:t xml:space="preserve">estratégico de la Entidad al momento de realizar la verificación del cumplimiento en los seguimientos que realiza la Oficina de Control Interno. </w:t>
                  </w:r>
                  <w:r w:rsidRPr="00CA1655">
                    <w:rPr>
                      <w:rFonts w:ascii="Segoe UI Symbol" w:eastAsia="Times New Roman" w:hAnsi="Segoe UI Symbol" w:cs="Segoe UI Symbol"/>
                      <w:color w:val="000000"/>
                      <w:sz w:val="16"/>
                      <w:szCs w:val="16"/>
                      <w:lang w:val="es-419" w:eastAsia="es-419"/>
                    </w:rPr>
                    <w:t>➢</w:t>
                  </w:r>
                  <w:r w:rsidRPr="00CA1655">
                    <w:rPr>
                      <w:rFonts w:eastAsia="Times New Roman" w:cs="Calibri"/>
                      <w:color w:val="000000"/>
                      <w:sz w:val="16"/>
                      <w:szCs w:val="16"/>
                      <w:lang w:val="es-419" w:eastAsia="es-419"/>
                    </w:rPr>
                    <w:t xml:space="preserve"> Se evidencia que el proceso Estudios Especiales y la Evaluación de Proyectos ha venido cambiando y/o modificando sus procedimientos, por los anterior la Oficina de Control Interno recomienda que estos cambios produzcan positivismo y sirvan para la mejora continua del proceso, de igual forma los invita a revisar, socializar y documentar los procedimientos propios del proceso en forma periódica, para lograr y garantizar de esta manera que todos los funcionarios del proceso los conozcan y los apliquen; esto les permitirá evidenciar</w:t>
                  </w:r>
                  <w:r w:rsidRPr="00CA1655">
                    <w:rPr>
                      <w:rFonts w:eastAsia="Times New Roman" w:cs="Calibri"/>
                      <w:color w:val="000000"/>
                      <w:sz w:val="16"/>
                      <w:szCs w:val="16"/>
                      <w:lang w:val="es-419" w:eastAsia="es-419"/>
                    </w:rPr>
                    <w:br/>
                    <w:t xml:space="preserve">si deben actualizar o mejorar alguno de los procedimientos, y así dar cumplimiento a lo establecidos en MIPG y del Decreto 1800 del 7 de octubre de 2019 en su capítulo cuatro (4) artículo 2.2.1.4.1. </w:t>
                  </w:r>
                  <w:r w:rsidRPr="00CA1655">
                    <w:rPr>
                      <w:rFonts w:ascii="Segoe UI Symbol" w:eastAsia="Times New Roman" w:hAnsi="Segoe UI Symbol" w:cs="Segoe UI Symbol"/>
                      <w:color w:val="000000"/>
                      <w:sz w:val="16"/>
                      <w:szCs w:val="16"/>
                      <w:lang w:val="es-419" w:eastAsia="es-419"/>
                    </w:rPr>
                    <w:t>➢</w:t>
                  </w:r>
                  <w:r w:rsidRPr="00CA1655">
                    <w:rPr>
                      <w:rFonts w:eastAsia="Times New Roman" w:cs="Calibri"/>
                      <w:color w:val="000000"/>
                      <w:sz w:val="16"/>
                      <w:szCs w:val="16"/>
                      <w:lang w:val="es-419" w:eastAsia="es-419"/>
                    </w:rPr>
                    <w:t xml:space="preserve"> La Oficina de Control Interno recomienda continuar con las capacitaciones a todos los servidores del proceso, con el fin de garantizar el cumplimiento de los lineamientos establecidos en cada uno de los procedimientos del proceso. </w:t>
                  </w:r>
                </w:p>
              </w:tc>
            </w:tr>
          </w:tbl>
          <w:p w14:paraId="3A7CEBA8" w14:textId="13AB966E" w:rsidR="00BE3107" w:rsidRDefault="00BE3107" w:rsidP="0029425F">
            <w:pPr>
              <w:spacing w:after="0" w:line="240" w:lineRule="auto"/>
              <w:jc w:val="both"/>
              <w:rPr>
                <w:rFonts w:ascii="Arial Narrow" w:hAnsi="Arial Narrow" w:cs="Arial"/>
                <w:b/>
              </w:rPr>
            </w:pPr>
          </w:p>
          <w:p w14:paraId="38B6B2E8" w14:textId="7D21D9DC" w:rsidR="00A67FF7" w:rsidRDefault="00A67FF7" w:rsidP="0029425F">
            <w:pPr>
              <w:spacing w:after="0" w:line="240" w:lineRule="auto"/>
              <w:jc w:val="both"/>
              <w:rPr>
                <w:rFonts w:ascii="Arial Narrow" w:hAnsi="Arial Narrow" w:cs="Arial"/>
                <w:b/>
              </w:rPr>
            </w:pPr>
          </w:p>
          <w:tbl>
            <w:tblPr>
              <w:tblW w:w="9484" w:type="dxa"/>
              <w:tblCellMar>
                <w:left w:w="70" w:type="dxa"/>
                <w:right w:w="70" w:type="dxa"/>
              </w:tblCellMar>
              <w:tblLook w:val="04A0" w:firstRow="1" w:lastRow="0" w:firstColumn="1" w:lastColumn="0" w:noHBand="0" w:noVBand="1"/>
            </w:tblPr>
            <w:tblGrid>
              <w:gridCol w:w="1766"/>
              <w:gridCol w:w="7718"/>
            </w:tblGrid>
            <w:tr w:rsidR="00A67FF7" w:rsidRPr="00E73E12" w14:paraId="5D3862AA" w14:textId="77777777" w:rsidTr="000335D0">
              <w:trPr>
                <w:trHeight w:val="2341"/>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7F5F" w14:textId="77777777" w:rsidR="00A67FF7" w:rsidRPr="00E73E12" w:rsidRDefault="00A67FF7" w:rsidP="00A67FF7">
                  <w:pPr>
                    <w:spacing w:after="0" w:line="240" w:lineRule="auto"/>
                    <w:jc w:val="center"/>
                    <w:rPr>
                      <w:rFonts w:ascii="Arial" w:eastAsia="Times New Roman" w:hAnsi="Arial" w:cs="Arial"/>
                      <w:b/>
                      <w:bCs/>
                      <w:color w:val="000000"/>
                      <w:sz w:val="18"/>
                      <w:szCs w:val="18"/>
                      <w:lang w:val="es-419" w:eastAsia="es-419"/>
                    </w:rPr>
                  </w:pPr>
                  <w:r w:rsidRPr="00E73E12">
                    <w:rPr>
                      <w:rFonts w:ascii="Arial" w:eastAsia="Times New Roman" w:hAnsi="Arial" w:cs="Arial"/>
                      <w:b/>
                      <w:bCs/>
                      <w:color w:val="000000"/>
                      <w:sz w:val="18"/>
                      <w:szCs w:val="18"/>
                      <w:lang w:val="es-419" w:eastAsia="es-419"/>
                    </w:rPr>
                    <w:t>Visitas a Entes Vigilados</w:t>
                  </w:r>
                </w:p>
              </w:tc>
              <w:tc>
                <w:tcPr>
                  <w:tcW w:w="7718" w:type="dxa"/>
                  <w:tcBorders>
                    <w:top w:val="single" w:sz="4" w:space="0" w:color="auto"/>
                    <w:left w:val="nil"/>
                    <w:bottom w:val="single" w:sz="4" w:space="0" w:color="auto"/>
                    <w:right w:val="single" w:sz="4" w:space="0" w:color="auto"/>
                  </w:tcBorders>
                  <w:shd w:val="clear" w:color="auto" w:fill="auto"/>
                  <w:vAlign w:val="bottom"/>
                  <w:hideMark/>
                </w:tcPr>
                <w:p w14:paraId="72C72737" w14:textId="77777777" w:rsidR="00A67FF7" w:rsidRPr="00E73E12" w:rsidRDefault="00A67FF7" w:rsidP="00A67FF7">
                  <w:pPr>
                    <w:spacing w:after="0" w:line="240" w:lineRule="auto"/>
                    <w:jc w:val="both"/>
                    <w:rPr>
                      <w:rFonts w:eastAsia="Times New Roman" w:cs="Calibri"/>
                      <w:color w:val="FF0000"/>
                      <w:sz w:val="16"/>
                      <w:szCs w:val="16"/>
                      <w:lang w:val="es-419" w:eastAsia="es-419"/>
                    </w:rPr>
                  </w:pPr>
                  <w:r w:rsidRPr="00E73E12">
                    <w:rPr>
                      <w:rFonts w:eastAsia="Times New Roman" w:cs="Calibri"/>
                      <w:sz w:val="16"/>
                      <w:szCs w:val="16"/>
                      <w:lang w:val="es-419" w:eastAsia="es-419"/>
                    </w:rPr>
                    <w:t xml:space="preserve">Se recomienda que la Delegada de Gestión realice su respectivo tramite y cargue de la información de las visitas realizadas a las Cajas de Compensación Familiar, en el Módulo Visitas: ´´soporte y optimización de los módulos de la aplicación GSTS´´. </w:t>
                  </w:r>
                  <w:r w:rsidRPr="00E73E12">
                    <w:rPr>
                      <w:rFonts w:eastAsia="Times New Roman" w:cs="Calibri"/>
                      <w:sz w:val="16"/>
                      <w:szCs w:val="16"/>
                      <w:lang w:val="es-419" w:eastAsia="es-419"/>
                    </w:rPr>
                    <w:br/>
                    <w:t>El objetivo de la mejora continua es incrementar la capacidad de la organización para satisfacer a sus clientes y mejorar el desempeño, en donde lograr esta última, requiere identificar las debilidades que pueda tener el proceso con propósito, de que en la medida de lo posible sean corregidas, y emprender acciones que eviten que se vuelvan a presentar. Con base en lo anterior, frente a las situaciones observadas la Oficina de Control Interno recomienda a los responsables del proceso “Visitas a entes vigilados”:</w:t>
                  </w:r>
                  <w:r w:rsidRPr="00E73E12">
                    <w:rPr>
                      <w:rFonts w:eastAsia="Times New Roman" w:cs="Calibri"/>
                      <w:sz w:val="16"/>
                      <w:szCs w:val="16"/>
                      <w:lang w:val="es-419" w:eastAsia="es-419"/>
                    </w:rPr>
                    <w:br/>
                    <w:t>Se recomienda iniciar con las pruebas y uso de los módulos asignados a dicha delegada como forma de apropiación de los recursos adquiridos por la entidad y así evitar que pueda materializarse un detrimento patrimonial.</w:t>
                  </w:r>
                  <w:r w:rsidRPr="00E73E12">
                    <w:rPr>
                      <w:rFonts w:eastAsia="Times New Roman" w:cs="Calibri"/>
                      <w:sz w:val="16"/>
                      <w:szCs w:val="16"/>
                      <w:lang w:val="es-419" w:eastAsia="es-419"/>
                    </w:rPr>
                    <w:br/>
                    <w:t>Se recomienda establecer reuniones con las demás áreas involucradas para agilizar en la toma de decisiones relacionadas con la interacción entre procesos.</w:t>
                  </w:r>
                </w:p>
              </w:tc>
            </w:tr>
          </w:tbl>
          <w:p w14:paraId="16AFC376" w14:textId="05EA572B" w:rsidR="00A67FF7" w:rsidRDefault="00A67FF7" w:rsidP="0029425F">
            <w:pPr>
              <w:spacing w:after="0" w:line="240" w:lineRule="auto"/>
              <w:jc w:val="both"/>
              <w:rPr>
                <w:rFonts w:ascii="Arial Narrow" w:hAnsi="Arial Narrow" w:cs="Arial"/>
                <w:b/>
              </w:rPr>
            </w:pPr>
          </w:p>
          <w:p w14:paraId="0A1EC3D9" w14:textId="77777777" w:rsidR="00A67FF7" w:rsidRPr="004159A2" w:rsidRDefault="00A67FF7" w:rsidP="0029425F">
            <w:pPr>
              <w:spacing w:after="0" w:line="240" w:lineRule="auto"/>
              <w:jc w:val="both"/>
              <w:rPr>
                <w:rFonts w:ascii="Arial Narrow" w:hAnsi="Arial Narrow" w:cs="Arial"/>
                <w:b/>
              </w:rPr>
            </w:pPr>
          </w:p>
          <w:p w14:paraId="3D86F804" w14:textId="0AFDE56F" w:rsidR="00C37F99" w:rsidRPr="005251B8" w:rsidRDefault="00C850DF" w:rsidP="0029425F">
            <w:pPr>
              <w:spacing w:after="0" w:line="240" w:lineRule="auto"/>
              <w:jc w:val="both"/>
              <w:rPr>
                <w:rFonts w:ascii="Arial Narrow" w:hAnsi="Arial Narrow" w:cs="Arial"/>
                <w:b/>
              </w:rPr>
            </w:pPr>
            <w:r w:rsidRPr="005251B8">
              <w:rPr>
                <w:rFonts w:ascii="Arial Narrow" w:hAnsi="Arial Narrow" w:cs="Arial"/>
                <w:b/>
              </w:rPr>
              <w:t>8.1</w:t>
            </w:r>
            <w:r w:rsidR="00C37F99" w:rsidRPr="005251B8">
              <w:rPr>
                <w:rFonts w:ascii="Arial Narrow" w:hAnsi="Arial Narrow" w:cs="Arial"/>
                <w:b/>
              </w:rPr>
              <w:t xml:space="preserve"> CONSOLIDADO DE HALLAZGOS Y OPORTUNIDADES DE MEJORA</w:t>
            </w:r>
            <w:r w:rsidRPr="005251B8">
              <w:rPr>
                <w:rFonts w:ascii="Arial Narrow" w:hAnsi="Arial Narrow" w:cs="Arial"/>
                <w:b/>
              </w:rPr>
              <w:t>:</w:t>
            </w:r>
          </w:p>
          <w:p w14:paraId="7DE5770F" w14:textId="77777777" w:rsidR="00C37F99" w:rsidRPr="004159A2" w:rsidRDefault="00C37F99" w:rsidP="0029425F">
            <w:pPr>
              <w:spacing w:after="0" w:line="240" w:lineRule="auto"/>
              <w:jc w:val="both"/>
              <w:rPr>
                <w:rFonts w:ascii="Arial Narrow" w:hAnsi="Arial Narrow" w:cs="Arial"/>
              </w:rPr>
            </w:pPr>
          </w:p>
          <w:p w14:paraId="0CAF2B9D" w14:textId="199F8B07" w:rsidR="00D76C0D" w:rsidRPr="00BE3107" w:rsidRDefault="005740BF" w:rsidP="0029425F">
            <w:pPr>
              <w:spacing w:after="0" w:line="240" w:lineRule="auto"/>
              <w:jc w:val="both"/>
              <w:rPr>
                <w:rFonts w:ascii="Arial Narrow" w:hAnsi="Arial Narrow" w:cs="Arial"/>
              </w:rPr>
            </w:pPr>
            <w:r w:rsidRPr="004159A2">
              <w:rPr>
                <w:rFonts w:ascii="Arial Narrow" w:hAnsi="Arial Narrow" w:cs="Arial"/>
              </w:rPr>
              <w:t>Los hallazgos y las oportunidades de mejora generados</w:t>
            </w:r>
            <w:r w:rsidR="005251B8">
              <w:rPr>
                <w:rFonts w:ascii="Arial Narrow" w:hAnsi="Arial Narrow" w:cs="Arial"/>
              </w:rPr>
              <w:t xml:space="preserve"> en el I</w:t>
            </w:r>
            <w:r w:rsidR="00CB4D6B">
              <w:rPr>
                <w:rFonts w:ascii="Arial Narrow" w:hAnsi="Arial Narrow" w:cs="Arial"/>
              </w:rPr>
              <w:t>I</w:t>
            </w:r>
            <w:r w:rsidR="005251B8">
              <w:rPr>
                <w:rFonts w:ascii="Arial Narrow" w:hAnsi="Arial Narrow" w:cs="Arial"/>
              </w:rPr>
              <w:t xml:space="preserve"> trimestre de 2021</w:t>
            </w:r>
            <w:r w:rsidRPr="004159A2">
              <w:rPr>
                <w:rFonts w:ascii="Arial Narrow" w:hAnsi="Arial Narrow" w:cs="Arial"/>
              </w:rPr>
              <w:t xml:space="preserve">  se encuentran subidas en el aplicativo Isolución</w:t>
            </w:r>
            <w:r w:rsidR="001F71E3" w:rsidRPr="004159A2">
              <w:rPr>
                <w:rFonts w:ascii="Arial Narrow" w:hAnsi="Arial Narrow" w:cs="Arial"/>
              </w:rPr>
              <w:t xml:space="preserve"> </w:t>
            </w:r>
            <w:r w:rsidR="001F71E3" w:rsidRPr="004159A2">
              <w:rPr>
                <w:rFonts w:ascii="Arial Narrow" w:hAnsi="Arial Narrow" w:cs="Arial"/>
                <w:lang w:val="es-MX"/>
              </w:rPr>
              <w:t>en el módulo Auditoria – reportes</w:t>
            </w:r>
            <w:r w:rsidRPr="004159A2">
              <w:rPr>
                <w:rFonts w:ascii="Arial Narrow" w:hAnsi="Arial Narrow" w:cs="Arial"/>
              </w:rPr>
              <w:t xml:space="preserve">, para que los responsables de los procesos auditados generen sus planes de mejoramiento en el aplicativo. </w:t>
            </w:r>
          </w:p>
          <w:p w14:paraId="206F525C" w14:textId="108E463F" w:rsidR="00151D85" w:rsidRPr="004159A2" w:rsidRDefault="00151D85" w:rsidP="0029425F">
            <w:pPr>
              <w:spacing w:after="0" w:line="240" w:lineRule="auto"/>
              <w:jc w:val="both"/>
              <w:rPr>
                <w:rFonts w:ascii="Arial" w:hAnsi="Arial" w:cs="Arial"/>
                <w:sz w:val="16"/>
                <w:szCs w:val="16"/>
              </w:rPr>
            </w:pPr>
          </w:p>
          <w:p w14:paraId="4B45572D" w14:textId="26729C32" w:rsidR="00375A70" w:rsidRPr="004159A2" w:rsidRDefault="00375A70" w:rsidP="0029425F">
            <w:pPr>
              <w:spacing w:after="0" w:line="240" w:lineRule="auto"/>
              <w:jc w:val="both"/>
              <w:rPr>
                <w:rFonts w:ascii="Arial" w:hAnsi="Arial" w:cs="Arial"/>
                <w:sz w:val="16"/>
                <w:szCs w:val="16"/>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En el aplicativo Isolución</w:t>
            </w:r>
            <w:r w:rsidR="001F71E3" w:rsidRPr="001F71E3">
              <w:rPr>
                <w:rFonts w:ascii="Arial Narrow" w:hAnsi="Arial Narrow" w:cs="Arial"/>
                <w:lang w:val="es-MX"/>
              </w:rPr>
              <w:t xml:space="preserve"> </w:t>
            </w:r>
            <w:r w:rsidR="001F71E3">
              <w:rPr>
                <w:rFonts w:ascii="Arial Narrow" w:hAnsi="Arial Narrow" w:cs="Arial"/>
                <w:lang w:val="es-MX"/>
              </w:rPr>
              <w:t xml:space="preserve"> los líderes de los procesos s</w:t>
            </w:r>
            <w:r w:rsidR="001F71E3" w:rsidRPr="001F71E3">
              <w:rPr>
                <w:rFonts w:ascii="Arial Narrow" w:hAnsi="Arial Narrow" w:cs="Arial"/>
                <w:lang w:val="es-MX"/>
              </w:rPr>
              <w:t xml:space="preserve">uscriben el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del  </w:t>
            </w:r>
            <w:r w:rsidR="001F71E3" w:rsidRPr="001F71E3">
              <w:rPr>
                <w:rFonts w:ascii="Arial Narrow" w:hAnsi="Arial Narrow" w:cs="Arial"/>
                <w:lang w:val="es-MX"/>
              </w:rPr>
              <w:t>cumpli</w:t>
            </w:r>
            <w:r w:rsidR="001F71E3">
              <w:rPr>
                <w:rFonts w:ascii="Arial Narrow" w:hAnsi="Arial Narrow" w:cs="Arial"/>
                <w:lang w:val="es-MX"/>
              </w:rPr>
              <w:t>miento de</w:t>
            </w:r>
            <w:r w:rsidR="001F71E3" w:rsidRPr="001F71E3">
              <w:rPr>
                <w:rFonts w:ascii="Arial Narrow" w:hAnsi="Arial Narrow" w:cs="Arial"/>
                <w:lang w:val="es-MX"/>
              </w:rPr>
              <w:t xml:space="preserve"> l</w:t>
            </w:r>
            <w:r w:rsidR="001F71E3">
              <w:rPr>
                <w:rFonts w:ascii="Arial Narrow" w:hAnsi="Arial Narrow" w:cs="Arial"/>
                <w:lang w:val="es-MX"/>
              </w:rPr>
              <w:t>as actividades y seguimientos registradas en el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551576DD" w:rsidR="00151D85" w:rsidRDefault="00151D85" w:rsidP="007F11B2">
            <w:pPr>
              <w:tabs>
                <w:tab w:val="left" w:pos="5345"/>
              </w:tabs>
              <w:autoSpaceDE w:val="0"/>
              <w:autoSpaceDN w:val="0"/>
              <w:adjustRightInd w:val="0"/>
              <w:spacing w:after="0"/>
              <w:jc w:val="both"/>
              <w:rPr>
                <w:rFonts w:ascii="Arial Narrow" w:hAnsi="Arial Narrow" w:cs="Arial"/>
                <w:lang w:val="es-MX"/>
              </w:rPr>
            </w:pPr>
          </w:p>
          <w:p w14:paraId="6B11DE1B" w14:textId="288C2BEB" w:rsidR="00C23733" w:rsidRPr="005251B8"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lastRenderedPageBreak/>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r w:rsidRPr="005251B8">
              <w:rPr>
                <w:rFonts w:ascii="Arial Narrow" w:hAnsi="Arial Narrow" w:cs="Arial"/>
                <w:lang w:val="es-MX"/>
              </w:rPr>
              <w:t xml:space="preserve">Para los </w:t>
            </w:r>
            <w:r w:rsidR="000C22CD" w:rsidRPr="005251B8">
              <w:rPr>
                <w:rFonts w:ascii="Arial Narrow" w:hAnsi="Arial Narrow" w:cs="Arial"/>
                <w:lang w:val="es-MX"/>
              </w:rPr>
              <w:t>resultados evidenciados en</w:t>
            </w:r>
            <w:r w:rsidRPr="005251B8">
              <w:rPr>
                <w:rFonts w:ascii="Arial Narrow" w:hAnsi="Arial Narrow" w:cs="Arial"/>
                <w:lang w:val="es-MX"/>
              </w:rPr>
              <w:t xml:space="preserve"> las </w:t>
            </w:r>
            <w:r w:rsidR="000C22CD" w:rsidRPr="005251B8">
              <w:rPr>
                <w:rFonts w:ascii="Arial Narrow" w:hAnsi="Arial Narrow" w:cs="Arial"/>
                <w:lang w:val="es-MX"/>
              </w:rPr>
              <w:t>auditorías</w:t>
            </w:r>
            <w:r w:rsidRPr="005251B8">
              <w:rPr>
                <w:rFonts w:ascii="Arial Narrow" w:hAnsi="Arial Narrow" w:cs="Arial"/>
                <w:lang w:val="es-MX"/>
              </w:rPr>
              <w:t xml:space="preserve"> internas </w:t>
            </w:r>
            <w:r w:rsidRPr="00E61633">
              <w:rPr>
                <w:rFonts w:ascii="Arial Narrow" w:hAnsi="Arial Narrow" w:cs="Arial"/>
                <w:lang w:val="es-MX"/>
              </w:rPr>
              <w:t xml:space="preserve">correspondientes al </w:t>
            </w:r>
            <w:r w:rsidR="00945E3D" w:rsidRPr="00E61633">
              <w:rPr>
                <w:rFonts w:ascii="Arial Narrow" w:hAnsi="Arial Narrow" w:cs="Arial"/>
                <w:lang w:val="es-MX"/>
              </w:rPr>
              <w:t>segundo</w:t>
            </w:r>
            <w:r w:rsidR="004159A2" w:rsidRPr="00E61633">
              <w:rPr>
                <w:rFonts w:ascii="Arial Narrow" w:hAnsi="Arial Narrow" w:cs="Arial"/>
                <w:lang w:val="es-MX"/>
              </w:rPr>
              <w:t xml:space="preserve"> (</w:t>
            </w:r>
            <w:r w:rsidRPr="00E61633">
              <w:rPr>
                <w:rFonts w:ascii="Arial Narrow" w:hAnsi="Arial Narrow" w:cs="Arial"/>
                <w:lang w:val="es-MX"/>
              </w:rPr>
              <w:t>I</w:t>
            </w:r>
            <w:r w:rsidR="00945E3D" w:rsidRPr="00E61633">
              <w:rPr>
                <w:rFonts w:ascii="Arial Narrow" w:hAnsi="Arial Narrow" w:cs="Arial"/>
                <w:lang w:val="es-MX"/>
              </w:rPr>
              <w:t>I</w:t>
            </w:r>
            <w:r w:rsidR="004159A2" w:rsidRPr="00E61633">
              <w:rPr>
                <w:rFonts w:ascii="Arial Narrow" w:hAnsi="Arial Narrow" w:cs="Arial"/>
                <w:lang w:val="es-MX"/>
              </w:rPr>
              <w:t xml:space="preserve">) </w:t>
            </w:r>
            <w:r w:rsidRPr="00E61633">
              <w:rPr>
                <w:rFonts w:ascii="Arial Narrow" w:hAnsi="Arial Narrow" w:cs="Arial"/>
                <w:lang w:val="es-MX"/>
              </w:rPr>
              <w:t xml:space="preserve">trimestre descritas en este informe, </w:t>
            </w:r>
            <w:r w:rsidR="00296052">
              <w:rPr>
                <w:rFonts w:ascii="Arial Narrow" w:hAnsi="Arial Narrow" w:cs="Arial"/>
                <w:lang w:val="es-MX"/>
              </w:rPr>
              <w:t>la</w:t>
            </w:r>
            <w:r w:rsidRPr="00E61633">
              <w:rPr>
                <w:rFonts w:ascii="Arial Narrow" w:hAnsi="Arial Narrow" w:cs="Arial"/>
                <w:lang w:val="es-MX"/>
              </w:rPr>
              <w:t xml:space="preserve"> plataforma Isolucion </w:t>
            </w:r>
            <w:r w:rsidR="00296052">
              <w:rPr>
                <w:rFonts w:ascii="Arial Narrow" w:hAnsi="Arial Narrow" w:cs="Arial"/>
                <w:lang w:val="es-MX"/>
              </w:rPr>
              <w:t xml:space="preserve">visualiza los </w:t>
            </w:r>
            <w:r w:rsidRPr="00E61633">
              <w:rPr>
                <w:rFonts w:ascii="Arial Narrow" w:hAnsi="Arial Narrow" w:cs="Arial"/>
                <w:lang w:val="es-MX"/>
              </w:rPr>
              <w:t>pl</w:t>
            </w:r>
            <w:r w:rsidR="00296052">
              <w:rPr>
                <w:rFonts w:ascii="Arial Narrow" w:hAnsi="Arial Narrow" w:cs="Arial"/>
                <w:lang w:val="es-MX"/>
              </w:rPr>
              <w:t xml:space="preserve">anes de mejoramiento a la fecha suscritos: </w:t>
            </w:r>
          </w:p>
          <w:p w14:paraId="4D5F3AB6" w14:textId="36A13ECB"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4D0DBF5A" w14:textId="0D97DD47" w:rsidR="006C3026" w:rsidRPr="00296052" w:rsidRDefault="00296052" w:rsidP="00296052">
            <w:pPr>
              <w:tabs>
                <w:tab w:val="left" w:pos="5345"/>
              </w:tabs>
              <w:autoSpaceDE w:val="0"/>
              <w:autoSpaceDN w:val="0"/>
              <w:adjustRightInd w:val="0"/>
              <w:spacing w:after="0"/>
              <w:jc w:val="both"/>
              <w:rPr>
                <w:rFonts w:ascii="Arial Narrow" w:hAnsi="Arial Narrow" w:cs="Arial"/>
                <w:color w:val="FF0000"/>
                <w:lang w:val="es-MX"/>
              </w:rPr>
            </w:pPr>
            <w:r>
              <w:rPr>
                <w:rFonts w:ascii="Arial Narrow" w:hAnsi="Arial Narrow" w:cs="Arial"/>
                <w:color w:val="FF0000"/>
                <w:lang w:val="es-MX"/>
              </w:rPr>
              <w:t xml:space="preserve"> </w:t>
            </w:r>
            <w:r>
              <w:rPr>
                <w:noProof/>
                <w:lang w:val="es-419" w:eastAsia="es-419"/>
              </w:rPr>
              <w:drawing>
                <wp:inline distT="0" distB="0" distL="0" distR="0" wp14:anchorId="1610A1FF" wp14:editId="17CE5DB1">
                  <wp:extent cx="5890260" cy="37932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901417" cy="3800469"/>
                          </a:xfrm>
                          <a:prstGeom prst="rect">
                            <a:avLst/>
                          </a:prstGeom>
                        </pic:spPr>
                      </pic:pic>
                    </a:graphicData>
                  </a:graphic>
                </wp:inline>
              </w:drawing>
            </w:r>
          </w:p>
          <w:p w14:paraId="6DA275C9" w14:textId="77777777" w:rsidR="006C3026" w:rsidRDefault="006C3026" w:rsidP="00DD7350">
            <w:pPr>
              <w:tabs>
                <w:tab w:val="left" w:pos="5345"/>
              </w:tabs>
              <w:autoSpaceDE w:val="0"/>
              <w:autoSpaceDN w:val="0"/>
              <w:adjustRightInd w:val="0"/>
              <w:spacing w:after="0"/>
              <w:jc w:val="center"/>
              <w:rPr>
                <w:rFonts w:ascii="Arial Narrow" w:hAnsi="Arial Narrow" w:cs="Arial"/>
                <w:lang w:val="es-MX"/>
              </w:rPr>
            </w:pPr>
          </w:p>
          <w:p w14:paraId="51106642" w14:textId="3162D3FD" w:rsidR="00296052" w:rsidRPr="007F11B2" w:rsidRDefault="00296052" w:rsidP="00DD7350">
            <w:pPr>
              <w:tabs>
                <w:tab w:val="left" w:pos="5345"/>
              </w:tabs>
              <w:autoSpaceDE w:val="0"/>
              <w:autoSpaceDN w:val="0"/>
              <w:adjustRightInd w:val="0"/>
              <w:spacing w:after="0"/>
              <w:jc w:val="center"/>
              <w:rPr>
                <w:rFonts w:ascii="Arial Narrow" w:hAnsi="Arial Narrow" w:cs="Arial"/>
                <w:lang w:val="es-MX"/>
              </w:rPr>
            </w:pPr>
            <w:r>
              <w:rPr>
                <w:noProof/>
                <w:lang w:val="es-419" w:eastAsia="es-419"/>
              </w:rPr>
              <w:drawing>
                <wp:inline distT="0" distB="0" distL="0" distR="0" wp14:anchorId="376B5133" wp14:editId="6AC3BB06">
                  <wp:extent cx="5753100" cy="22120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792074" cy="2227030"/>
                          </a:xfrm>
                          <a:prstGeom prst="rect">
                            <a:avLst/>
                          </a:prstGeom>
                        </pic:spPr>
                      </pic:pic>
                    </a:graphicData>
                  </a:graphic>
                </wp:inline>
              </w:drawing>
            </w:r>
          </w:p>
        </w:tc>
      </w:tr>
      <w:tr w:rsidR="00C37F99" w:rsidRPr="006A6C3F" w14:paraId="0AB4EDD5" w14:textId="77777777" w:rsidTr="0004393A">
        <w:trPr>
          <w:trHeight w:val="1292"/>
        </w:trPr>
        <w:tc>
          <w:tcPr>
            <w:tcW w:w="9678" w:type="dxa"/>
            <w:gridSpan w:val="2"/>
          </w:tcPr>
          <w:p w14:paraId="0017C90A" w14:textId="2178E977" w:rsidR="006C3026" w:rsidRPr="00296052" w:rsidRDefault="006C3026" w:rsidP="00296052">
            <w:pPr>
              <w:spacing w:after="0" w:line="240" w:lineRule="auto"/>
              <w:jc w:val="both"/>
              <w:rPr>
                <w:rFonts w:ascii="Arial Narrow" w:hAnsi="Arial Narrow" w:cs="Arial"/>
              </w:rPr>
            </w:pPr>
          </w:p>
          <w:p w14:paraId="639F2619" w14:textId="203A5C69" w:rsidR="00C37F99" w:rsidRDefault="00D96CE8" w:rsidP="00C10BEE">
            <w:pPr>
              <w:spacing w:after="0" w:line="240" w:lineRule="auto"/>
              <w:jc w:val="both"/>
              <w:rPr>
                <w:rFonts w:ascii="Arial Narrow" w:hAnsi="Arial Narrow" w:cs="Arial"/>
                <w:b/>
                <w:color w:val="FF0000"/>
              </w:rPr>
            </w:pPr>
            <w:r w:rsidRPr="00D03F17">
              <w:rPr>
                <w:rFonts w:ascii="Arial Narrow" w:hAnsi="Arial Narrow" w:cs="Arial"/>
                <w:b/>
              </w:rPr>
              <w:t>10</w:t>
            </w:r>
            <w:r w:rsidR="00C37F99" w:rsidRPr="00D03F17">
              <w:rPr>
                <w:rFonts w:ascii="Arial Narrow" w:hAnsi="Arial Narrow" w:cs="Arial"/>
                <w:b/>
              </w:rPr>
              <w:t>. CONCLUSIONES Y/O RECOMENDACIONES GENERALES</w:t>
            </w:r>
          </w:p>
          <w:p w14:paraId="79F7FC5D" w14:textId="399972EC" w:rsidR="004A29CB" w:rsidRDefault="004A29CB" w:rsidP="00C10BEE">
            <w:pPr>
              <w:spacing w:after="0" w:line="240" w:lineRule="auto"/>
              <w:jc w:val="both"/>
              <w:rPr>
                <w:rFonts w:ascii="Arial Narrow" w:hAnsi="Arial Narrow" w:cs="Arial"/>
                <w:b/>
                <w:color w:val="FF0000"/>
              </w:rPr>
            </w:pPr>
          </w:p>
          <w:p w14:paraId="69DF8423" w14:textId="38141DEC" w:rsidR="004A29CB" w:rsidRPr="00D97CF1" w:rsidRDefault="00D97CF1" w:rsidP="00D97CF1">
            <w:pPr>
              <w:spacing w:after="0"/>
              <w:jc w:val="both"/>
              <w:rPr>
                <w:rFonts w:ascii="Arial Narrow" w:hAnsi="Arial Narrow" w:cs="Arial"/>
              </w:rPr>
            </w:pPr>
            <w:r>
              <w:rPr>
                <w:rFonts w:ascii="Arial Narrow" w:hAnsi="Arial Narrow"/>
                <w:bCs/>
              </w:rPr>
              <w:t>El</w:t>
            </w:r>
            <w:r>
              <w:rPr>
                <w:rFonts w:ascii="Arial Narrow" w:hAnsi="Arial Narrow" w:cs="Arial"/>
              </w:rPr>
              <w:t xml:space="preserve"> </w:t>
            </w:r>
            <w:r w:rsidRPr="00D97CF1">
              <w:rPr>
                <w:rFonts w:ascii="Arial Narrow" w:hAnsi="Arial Narrow" w:cs="Arial"/>
              </w:rPr>
              <w:t>proceso</w:t>
            </w:r>
            <w:r>
              <w:rPr>
                <w:rFonts w:ascii="Arial Narrow" w:hAnsi="Arial Narrow" w:cs="Arial"/>
              </w:rPr>
              <w:t xml:space="preserve"> de auditorías al Sistema de gestión de calidad es una verificación sistemática y documentada</w:t>
            </w:r>
            <w:r w:rsidR="004A29CB" w:rsidRPr="00D97CF1">
              <w:rPr>
                <w:rFonts w:ascii="Arial Narrow" w:hAnsi="Arial Narrow" w:cs="Arial"/>
              </w:rPr>
              <w:t>, que tiene como finalidad obtener y evaluar de forma objetiva</w:t>
            </w:r>
            <w:r>
              <w:rPr>
                <w:rFonts w:ascii="Arial Narrow" w:hAnsi="Arial Narrow" w:cs="Arial"/>
              </w:rPr>
              <w:t xml:space="preserve"> </w:t>
            </w:r>
            <w:r w:rsidR="004A29CB" w:rsidRPr="00D97CF1">
              <w:rPr>
                <w:rFonts w:ascii="Arial Narrow" w:hAnsi="Arial Narrow" w:cs="Arial"/>
              </w:rPr>
              <w:t xml:space="preserve">las evidencias necesarias que permitan determinar si el objeto de la auditoría se ajusta a los requisitos previamente especificados. De igual manera, tiene como objetivo principal </w:t>
            </w:r>
            <w:r w:rsidR="004A29CB" w:rsidRPr="00D97CF1">
              <w:rPr>
                <w:rFonts w:ascii="Arial Narrow" w:hAnsi="Arial Narrow"/>
                <w:bCs/>
              </w:rPr>
              <w:t xml:space="preserve">identificar y definir los problemas </w:t>
            </w:r>
            <w:r w:rsidR="004A29CB" w:rsidRPr="00D97CF1">
              <w:rPr>
                <w:rFonts w:ascii="Arial Narrow" w:hAnsi="Arial Narrow" w:cs="Arial"/>
              </w:rPr>
              <w:t xml:space="preserve">para mejorar el sistema de gestión y evaluar el rendimiento de la entidad. </w:t>
            </w:r>
          </w:p>
          <w:p w14:paraId="42D282C4" w14:textId="77777777" w:rsidR="004A29CB" w:rsidRDefault="004A29CB" w:rsidP="004A29CB">
            <w:pPr>
              <w:pStyle w:val="Prrafodelista"/>
              <w:spacing w:after="0"/>
              <w:jc w:val="both"/>
              <w:rPr>
                <w:rFonts w:ascii="Arial Narrow" w:hAnsi="Arial Narrow" w:cs="Arial"/>
              </w:rPr>
            </w:pPr>
          </w:p>
          <w:p w14:paraId="79FA45E3" w14:textId="71B8FE08" w:rsidR="002A3BC9" w:rsidRPr="007C4037" w:rsidRDefault="004A29CB" w:rsidP="007C4037">
            <w:pPr>
              <w:pStyle w:val="Prrafodelista"/>
              <w:numPr>
                <w:ilvl w:val="0"/>
                <w:numId w:val="36"/>
              </w:numPr>
              <w:spacing w:after="0"/>
              <w:jc w:val="both"/>
              <w:rPr>
                <w:rFonts w:ascii="Arial Narrow" w:hAnsi="Arial Narrow" w:cs="Arial"/>
              </w:rPr>
            </w:pPr>
            <w:r w:rsidRPr="007C4037">
              <w:rPr>
                <w:rFonts w:ascii="Arial Narrow" w:hAnsi="Arial Narrow" w:cs="Arial"/>
              </w:rPr>
              <w:t>La</w:t>
            </w:r>
            <w:r w:rsidR="002A3BC9" w:rsidRPr="007C4037">
              <w:rPr>
                <w:rFonts w:ascii="Arial Narrow" w:hAnsi="Arial Narrow" w:cs="Arial"/>
              </w:rPr>
              <w:t xml:space="preserve"> oficina de control </w:t>
            </w:r>
            <w:r w:rsidR="007C4037" w:rsidRPr="007C4037">
              <w:rPr>
                <w:rFonts w:ascii="Arial Narrow" w:hAnsi="Arial Narrow" w:cs="Arial"/>
              </w:rPr>
              <w:t>interno da cumplimiento</w:t>
            </w:r>
            <w:r w:rsidR="002A3BC9" w:rsidRPr="007C4037">
              <w:rPr>
                <w:rFonts w:ascii="Arial Narrow" w:hAnsi="Arial Narrow" w:cs="Arial"/>
              </w:rPr>
              <w:t xml:space="preserve"> en la ejecución de las auditorías establecidas en el Plan de trabajo establecido para el </w:t>
            </w:r>
            <w:r w:rsidR="00D97CF1" w:rsidRPr="007C4037">
              <w:rPr>
                <w:rFonts w:ascii="Arial Narrow" w:hAnsi="Arial Narrow" w:cs="Arial"/>
              </w:rPr>
              <w:t xml:space="preserve">segundo </w:t>
            </w:r>
            <w:r w:rsidRPr="007C4037">
              <w:rPr>
                <w:rFonts w:ascii="Arial Narrow" w:hAnsi="Arial Narrow" w:cs="Arial"/>
              </w:rPr>
              <w:t xml:space="preserve">trimestre del año </w:t>
            </w:r>
            <w:r w:rsidR="002A3BC9" w:rsidRPr="007C4037">
              <w:rPr>
                <w:rFonts w:ascii="Arial Narrow" w:hAnsi="Arial Narrow" w:cs="Arial"/>
              </w:rPr>
              <w:t>202</w:t>
            </w:r>
            <w:r w:rsidRPr="007C4037">
              <w:rPr>
                <w:rFonts w:ascii="Arial Narrow" w:hAnsi="Arial Narrow" w:cs="Arial"/>
              </w:rPr>
              <w:t>1</w:t>
            </w:r>
            <w:r w:rsidR="002A3BC9" w:rsidRPr="007C4037">
              <w:rPr>
                <w:rFonts w:ascii="Arial Narrow" w:hAnsi="Arial Narrow" w:cs="Arial"/>
              </w:rPr>
              <w:t xml:space="preserve"> de manera eficaz, trabajando desde casa </w:t>
            </w:r>
            <w:r w:rsidR="00D97CF1" w:rsidRPr="007C4037">
              <w:rPr>
                <w:rFonts w:ascii="Arial Narrow" w:hAnsi="Arial Narrow" w:cs="Arial"/>
              </w:rPr>
              <w:t>por la</w:t>
            </w:r>
            <w:r w:rsidR="002A3BC9" w:rsidRPr="007C4037">
              <w:rPr>
                <w:rFonts w:ascii="Arial Narrow" w:hAnsi="Arial Narrow" w:cs="Arial"/>
              </w:rPr>
              <w:t xml:space="preserve"> s</w:t>
            </w:r>
            <w:r w:rsidR="00D97CF1" w:rsidRPr="007C4037">
              <w:rPr>
                <w:rFonts w:ascii="Arial Narrow" w:hAnsi="Arial Narrow" w:cs="Arial"/>
              </w:rPr>
              <w:t xml:space="preserve">ituación presentada por la situación </w:t>
            </w:r>
            <w:r w:rsidR="007C4037" w:rsidRPr="007C4037">
              <w:rPr>
                <w:rFonts w:ascii="Arial Narrow" w:hAnsi="Arial Narrow" w:cs="Arial"/>
              </w:rPr>
              <w:t>de estado</w:t>
            </w:r>
            <w:r w:rsidR="002A3BC9" w:rsidRPr="007C4037">
              <w:rPr>
                <w:rFonts w:ascii="Arial Narrow" w:hAnsi="Arial Narrow" w:cs="Arial"/>
              </w:rPr>
              <w:t xml:space="preserve"> de emergencia por el que está pasando el país. </w:t>
            </w:r>
          </w:p>
          <w:p w14:paraId="5A25C046" w14:textId="77777777" w:rsidR="00B44836" w:rsidRPr="004A29CB" w:rsidRDefault="00B44836" w:rsidP="004A29CB">
            <w:pPr>
              <w:spacing w:after="0"/>
              <w:jc w:val="both"/>
              <w:rPr>
                <w:rFonts w:ascii="Arial Narrow" w:hAnsi="Arial Narrow" w:cs="Arial"/>
              </w:rPr>
            </w:pPr>
          </w:p>
          <w:p w14:paraId="09743FB2" w14:textId="6B8DED89" w:rsidR="00D97CF1" w:rsidRPr="007C4037" w:rsidRDefault="004A29CB" w:rsidP="007C4037">
            <w:pPr>
              <w:pStyle w:val="Prrafodelista"/>
              <w:numPr>
                <w:ilvl w:val="0"/>
                <w:numId w:val="36"/>
              </w:numPr>
              <w:spacing w:after="0"/>
              <w:jc w:val="both"/>
              <w:rPr>
                <w:rFonts w:ascii="Arial Narrow" w:hAnsi="Arial Narrow" w:cs="Arial"/>
              </w:rPr>
            </w:pPr>
            <w:r w:rsidRPr="007C4037">
              <w:rPr>
                <w:rFonts w:ascii="Arial Narrow" w:hAnsi="Arial Narrow" w:cs="Arial"/>
              </w:rPr>
              <w:t xml:space="preserve">La OCI recuerda </w:t>
            </w:r>
            <w:r w:rsidR="002A3B92" w:rsidRPr="007C4037">
              <w:rPr>
                <w:rFonts w:ascii="Arial Narrow" w:hAnsi="Arial Narrow" w:cs="Arial"/>
              </w:rPr>
              <w:t xml:space="preserve"> que s</w:t>
            </w:r>
            <w:r w:rsidR="00001822" w:rsidRPr="007C4037">
              <w:rPr>
                <w:rFonts w:ascii="Arial Narrow" w:hAnsi="Arial Narrow" w:cs="Arial"/>
              </w:rPr>
              <w:t xml:space="preserve">egún lo establecido en el procedimiento y las directrices impartidas, cada uno de los </w:t>
            </w:r>
            <w:r w:rsidR="00352C20" w:rsidRPr="007C4037">
              <w:rPr>
                <w:rFonts w:ascii="Arial Narrow" w:hAnsi="Arial Narrow" w:cs="Arial"/>
              </w:rPr>
              <w:t xml:space="preserve"> hallazgos y oportunidades de </w:t>
            </w:r>
            <w:r w:rsidR="00540B86" w:rsidRPr="007C4037">
              <w:rPr>
                <w:rFonts w:ascii="Arial Narrow" w:hAnsi="Arial Narrow" w:cs="Arial"/>
              </w:rPr>
              <w:t>mejora</w:t>
            </w:r>
            <w:r w:rsidR="00345358" w:rsidRPr="007C4037">
              <w:rPr>
                <w:rFonts w:ascii="Arial Narrow" w:hAnsi="Arial Narrow" w:cs="Arial"/>
              </w:rPr>
              <w:t xml:space="preserve"> </w:t>
            </w:r>
            <w:r w:rsidR="00001822" w:rsidRPr="007C4037">
              <w:rPr>
                <w:rFonts w:ascii="Arial Narrow" w:hAnsi="Arial Narrow" w:cs="Arial"/>
              </w:rPr>
              <w:t>evidenciados</w:t>
            </w:r>
            <w:r w:rsidR="00345358" w:rsidRPr="007C4037">
              <w:rPr>
                <w:rFonts w:ascii="Arial Narrow" w:hAnsi="Arial Narrow" w:cs="Arial"/>
              </w:rPr>
              <w:t xml:space="preserve"> en las </w:t>
            </w:r>
            <w:r w:rsidR="007C4037" w:rsidRPr="007C4037">
              <w:rPr>
                <w:rFonts w:ascii="Arial Narrow" w:hAnsi="Arial Narrow" w:cs="Arial"/>
              </w:rPr>
              <w:t>auditorías</w:t>
            </w:r>
            <w:r w:rsidR="00540B86" w:rsidRPr="007C4037">
              <w:rPr>
                <w:rFonts w:ascii="Arial Narrow" w:hAnsi="Arial Narrow" w:cs="Arial"/>
              </w:rPr>
              <w:t xml:space="preserve">, </w:t>
            </w:r>
            <w:r w:rsidR="00345358" w:rsidRPr="007C4037">
              <w:rPr>
                <w:rFonts w:ascii="Arial Narrow" w:hAnsi="Arial Narrow" w:cs="Arial"/>
              </w:rPr>
              <w:t>deben</w:t>
            </w:r>
            <w:r w:rsidR="00001822" w:rsidRPr="007C4037">
              <w:rPr>
                <w:rFonts w:ascii="Arial Narrow" w:hAnsi="Arial Narrow" w:cs="Arial"/>
              </w:rPr>
              <w:t xml:space="preserve"> ser </w:t>
            </w:r>
            <w:r w:rsidR="00345358" w:rsidRPr="007C4037">
              <w:rPr>
                <w:rFonts w:ascii="Arial Narrow" w:hAnsi="Arial Narrow" w:cs="Arial"/>
              </w:rPr>
              <w:t xml:space="preserve"> </w:t>
            </w:r>
            <w:r w:rsidR="00540B86" w:rsidRPr="007C4037">
              <w:rPr>
                <w:rFonts w:ascii="Arial Narrow" w:hAnsi="Arial Narrow" w:cs="Arial"/>
              </w:rPr>
              <w:t>suscri</w:t>
            </w:r>
            <w:r w:rsidR="00001822" w:rsidRPr="007C4037">
              <w:rPr>
                <w:rFonts w:ascii="Arial Narrow" w:hAnsi="Arial Narrow" w:cs="Arial"/>
              </w:rPr>
              <w:t xml:space="preserve">tos mediante </w:t>
            </w:r>
            <w:r w:rsidR="00352C20" w:rsidRPr="007C4037">
              <w:rPr>
                <w:rFonts w:ascii="Arial Narrow" w:hAnsi="Arial Narrow" w:cs="Arial"/>
              </w:rPr>
              <w:t xml:space="preserve"> </w:t>
            </w:r>
            <w:r w:rsidR="00540B86" w:rsidRPr="007C4037">
              <w:rPr>
                <w:rFonts w:ascii="Arial Narrow" w:hAnsi="Arial Narrow" w:cs="Arial"/>
              </w:rPr>
              <w:t>el plan</w:t>
            </w:r>
            <w:r w:rsidR="005C44A2" w:rsidRPr="007C4037">
              <w:rPr>
                <w:rFonts w:ascii="Arial Narrow" w:hAnsi="Arial Narrow" w:cs="Arial"/>
              </w:rPr>
              <w:t xml:space="preserve"> de </w:t>
            </w:r>
            <w:r w:rsidR="00540B86" w:rsidRPr="007C4037">
              <w:rPr>
                <w:rFonts w:ascii="Arial Narrow" w:hAnsi="Arial Narrow" w:cs="Arial"/>
              </w:rPr>
              <w:t>mejoramiento</w:t>
            </w:r>
            <w:r w:rsidR="00B44836" w:rsidRPr="007C4037">
              <w:rPr>
                <w:rFonts w:ascii="Arial Narrow" w:hAnsi="Arial Narrow" w:cs="Arial"/>
              </w:rPr>
              <w:t xml:space="preserve"> en la herramienta Isolucion,</w:t>
            </w:r>
            <w:r w:rsidR="00540B86" w:rsidRPr="007C4037">
              <w:rPr>
                <w:rFonts w:ascii="Arial Narrow" w:hAnsi="Arial Narrow" w:cs="Arial"/>
              </w:rPr>
              <w:t xml:space="preserve"> que</w:t>
            </w:r>
            <w:r w:rsidR="005C44A2" w:rsidRPr="007C4037">
              <w:rPr>
                <w:rFonts w:ascii="Arial Narrow" w:hAnsi="Arial Narrow" w:cs="Arial"/>
              </w:rPr>
              <w:t xml:space="preserve"> incluya los temas que ameritan adoptar acciones correctivas y preventivas dentro de los quince (15) días hábiles siguientes al recibo del informe definitivo</w:t>
            </w:r>
            <w:r w:rsidR="00352C20" w:rsidRPr="007C4037">
              <w:rPr>
                <w:rFonts w:ascii="Arial Narrow" w:hAnsi="Arial Narrow" w:cs="Arial"/>
              </w:rPr>
              <w:t xml:space="preserve"> de la auditoria</w:t>
            </w:r>
            <w:r w:rsidR="00345358" w:rsidRPr="007C4037">
              <w:rPr>
                <w:rFonts w:ascii="Arial Narrow" w:hAnsi="Arial Narrow" w:cs="Arial"/>
              </w:rPr>
              <w:t xml:space="preserve">, así mismo, los líderes de procesos realizaran un seguimiento a las actividades establecidas para proceder al cierre de las mismas. </w:t>
            </w:r>
          </w:p>
          <w:p w14:paraId="7B5CC21A" w14:textId="77777777" w:rsidR="007C4037" w:rsidRDefault="007C4037" w:rsidP="007C4037">
            <w:pPr>
              <w:spacing w:after="0"/>
              <w:jc w:val="both"/>
              <w:rPr>
                <w:rFonts w:ascii="Arial Narrow" w:hAnsi="Arial Narrow" w:cs="Arial"/>
              </w:rPr>
            </w:pPr>
          </w:p>
          <w:p w14:paraId="12EA7608" w14:textId="7652A82B" w:rsidR="007C4037" w:rsidRPr="007C4037" w:rsidRDefault="00D97CF1" w:rsidP="007C4037">
            <w:pPr>
              <w:pStyle w:val="Prrafodelista"/>
              <w:numPr>
                <w:ilvl w:val="0"/>
                <w:numId w:val="36"/>
              </w:numPr>
              <w:spacing w:after="0"/>
              <w:jc w:val="both"/>
              <w:rPr>
                <w:rFonts w:ascii="Arial Narrow" w:hAnsi="Arial Narrow" w:cs="Arial"/>
              </w:rPr>
            </w:pPr>
            <w:r w:rsidRPr="007C4037">
              <w:rPr>
                <w:rFonts w:ascii="Arial Narrow" w:hAnsi="Arial Narrow" w:cs="Arial"/>
              </w:rPr>
              <w:t>Las recomendaciones presentadas por la OCI son medidas propuestas con la finalidad de cor</w:t>
            </w:r>
            <w:r w:rsidR="007C4037" w:rsidRPr="007C4037">
              <w:rPr>
                <w:rFonts w:ascii="Arial Narrow" w:hAnsi="Arial Narrow" w:cs="Arial"/>
              </w:rPr>
              <w:t>regir</w:t>
            </w:r>
            <w:r w:rsidRPr="007C4037">
              <w:rPr>
                <w:rFonts w:ascii="Arial Narrow" w:hAnsi="Arial Narrow" w:cs="Arial"/>
              </w:rPr>
              <w:t xml:space="preserve"> errores, omisiones y desviaciones evidenciadas en el seguimiento y verificación a los procesos.  Estas </w:t>
            </w:r>
            <w:r w:rsidR="007C4037" w:rsidRPr="007C4037">
              <w:rPr>
                <w:rFonts w:ascii="Arial Narrow" w:hAnsi="Arial Narrow" w:cs="Arial"/>
              </w:rPr>
              <w:t>recomendaciones</w:t>
            </w:r>
            <w:r w:rsidR="007C4037">
              <w:rPr>
                <w:rFonts w:ascii="Arial Narrow" w:hAnsi="Arial Narrow" w:cs="Arial"/>
              </w:rPr>
              <w:t xml:space="preserve"> </w:t>
            </w:r>
            <w:r w:rsidR="007C4037" w:rsidRPr="007C4037">
              <w:rPr>
                <w:rFonts w:ascii="Arial Narrow" w:hAnsi="Arial Narrow" w:cs="Arial"/>
              </w:rPr>
              <w:t>expuestas</w:t>
            </w:r>
            <w:r w:rsidRPr="007C4037">
              <w:rPr>
                <w:rFonts w:ascii="Arial Narrow" w:hAnsi="Arial Narrow" w:cs="Arial"/>
              </w:rPr>
              <w:t xml:space="preserve"> por el auditor</w:t>
            </w:r>
            <w:r w:rsidR="007C4037">
              <w:rPr>
                <w:rFonts w:ascii="Arial Narrow" w:hAnsi="Arial Narrow" w:cs="Arial"/>
              </w:rPr>
              <w:t xml:space="preserve"> son sugeridas </w:t>
            </w:r>
            <w:r w:rsidR="007C4037" w:rsidRPr="007C4037">
              <w:rPr>
                <w:rFonts w:ascii="Arial Narrow" w:hAnsi="Arial Narrow" w:cs="Arial"/>
              </w:rPr>
              <w:t>para</w:t>
            </w:r>
            <w:r w:rsidRPr="007C4037">
              <w:rPr>
                <w:rFonts w:ascii="Arial Narrow" w:hAnsi="Arial Narrow" w:cs="Arial"/>
              </w:rPr>
              <w:t xml:space="preserve"> mejoras potenciales, deriva</w:t>
            </w:r>
            <w:r w:rsidR="007C4037" w:rsidRPr="007C4037">
              <w:rPr>
                <w:rFonts w:ascii="Arial Narrow" w:hAnsi="Arial Narrow" w:cs="Arial"/>
              </w:rPr>
              <w:t xml:space="preserve">das del análisis realizado. </w:t>
            </w:r>
          </w:p>
          <w:p w14:paraId="7C317507" w14:textId="77777777" w:rsidR="007C4037" w:rsidRPr="007C4037" w:rsidRDefault="007C4037" w:rsidP="007C4037">
            <w:pPr>
              <w:pStyle w:val="Prrafodelista"/>
              <w:spacing w:after="0"/>
              <w:jc w:val="both"/>
              <w:rPr>
                <w:rFonts w:ascii="Arial Narrow" w:hAnsi="Arial Narrow" w:cs="Arial"/>
              </w:rPr>
            </w:pPr>
          </w:p>
          <w:p w14:paraId="040658B2" w14:textId="66A3B2D2" w:rsidR="00D03F17" w:rsidRDefault="007C4037" w:rsidP="007C4037">
            <w:pPr>
              <w:pStyle w:val="Prrafodelista"/>
              <w:numPr>
                <w:ilvl w:val="0"/>
                <w:numId w:val="36"/>
              </w:numPr>
              <w:spacing w:after="0"/>
              <w:jc w:val="both"/>
              <w:rPr>
                <w:rFonts w:ascii="Arial Narrow" w:hAnsi="Arial Narrow" w:cs="Arial"/>
              </w:rPr>
            </w:pPr>
            <w:r w:rsidRPr="007C4037">
              <w:rPr>
                <w:rFonts w:ascii="Arial Narrow" w:hAnsi="Arial Narrow" w:cs="Arial"/>
              </w:rPr>
              <w:t>Cada uno de los responsables de los procesos debe comprometerse con la suscripción</w:t>
            </w:r>
            <w:r w:rsidR="00D03F17">
              <w:rPr>
                <w:rFonts w:ascii="Arial Narrow" w:hAnsi="Arial Narrow" w:cs="Arial"/>
              </w:rPr>
              <w:t xml:space="preserve"> </w:t>
            </w:r>
            <w:r w:rsidRPr="007C4037">
              <w:rPr>
                <w:rFonts w:ascii="Arial Narrow" w:hAnsi="Arial Narrow" w:cs="Arial"/>
              </w:rPr>
              <w:t xml:space="preserve"> y ejecución de los planes de mejoramiento frente a las no conformidades evidenciadas en las </w:t>
            </w:r>
            <w:r w:rsidR="00D03F17" w:rsidRPr="007C4037">
              <w:rPr>
                <w:rFonts w:ascii="Arial Narrow" w:hAnsi="Arial Narrow" w:cs="Arial"/>
              </w:rPr>
              <w:t>auditorías</w:t>
            </w:r>
            <w:r w:rsidRPr="007C4037">
              <w:rPr>
                <w:rFonts w:ascii="Arial Narrow" w:hAnsi="Arial Narrow" w:cs="Arial"/>
              </w:rPr>
              <w:t>, contribuyendo al  correcto desarrollo del ciclo PHVA ( Planear, hacer, verificar y actuar)</w:t>
            </w:r>
            <w:r w:rsidR="00D03F17">
              <w:rPr>
                <w:rFonts w:ascii="Arial Narrow" w:hAnsi="Arial Narrow" w:cs="Arial"/>
              </w:rPr>
              <w:t xml:space="preserve"> y</w:t>
            </w:r>
            <w:r w:rsidRPr="007C4037">
              <w:rPr>
                <w:rFonts w:ascii="Arial Narrow" w:hAnsi="Arial Narrow" w:cs="Arial"/>
              </w:rPr>
              <w:t xml:space="preserve"> </w:t>
            </w:r>
            <w:r w:rsidR="00D03F17">
              <w:rPr>
                <w:rFonts w:ascii="Arial Narrow" w:hAnsi="Arial Narrow" w:cs="Arial"/>
              </w:rPr>
              <w:t>c</w:t>
            </w:r>
            <w:r w:rsidR="00D03F17" w:rsidRPr="00D03F17">
              <w:rPr>
                <w:rFonts w:ascii="Arial Narrow" w:hAnsi="Arial Narrow" w:cs="Arial"/>
              </w:rPr>
              <w:t xml:space="preserve">reando  acciones de mejora que permita a las entidades optimizar su gestión y facilite el cumplimiento de las metas del plan institucional. </w:t>
            </w:r>
          </w:p>
          <w:p w14:paraId="028545A3" w14:textId="77777777" w:rsidR="00D03F17" w:rsidRPr="00D03F17" w:rsidRDefault="00D03F17" w:rsidP="00D03F17">
            <w:pPr>
              <w:pStyle w:val="Prrafodelista"/>
              <w:rPr>
                <w:rFonts w:ascii="Arial Narrow" w:hAnsi="Arial Narrow" w:cs="Arial"/>
              </w:rPr>
            </w:pPr>
          </w:p>
          <w:p w14:paraId="530DD891" w14:textId="75517848" w:rsidR="00D97CF1" w:rsidRPr="007C4037" w:rsidRDefault="007C4037" w:rsidP="007C4037">
            <w:pPr>
              <w:pStyle w:val="Prrafodelista"/>
              <w:numPr>
                <w:ilvl w:val="0"/>
                <w:numId w:val="36"/>
              </w:numPr>
              <w:spacing w:after="0"/>
              <w:jc w:val="both"/>
              <w:rPr>
                <w:rFonts w:ascii="Arial Narrow" w:hAnsi="Arial Narrow" w:cs="Arial"/>
              </w:rPr>
            </w:pPr>
            <w:r w:rsidRPr="007C4037">
              <w:rPr>
                <w:rFonts w:ascii="Arial Narrow" w:hAnsi="Arial Narrow" w:cs="Arial"/>
              </w:rPr>
              <w:t>Es importante que se genere el compromiso y receptividad de los líderes</w:t>
            </w:r>
            <w:r w:rsidR="00D03F17">
              <w:rPr>
                <w:rFonts w:ascii="Arial Narrow" w:hAnsi="Arial Narrow" w:cs="Arial"/>
              </w:rPr>
              <w:t xml:space="preserve"> de los procesos para </w:t>
            </w:r>
            <w:r w:rsidR="00D03F17" w:rsidRPr="007C4037">
              <w:rPr>
                <w:rFonts w:ascii="Arial Narrow" w:hAnsi="Arial Narrow" w:cs="Arial"/>
              </w:rPr>
              <w:t>mantener</w:t>
            </w:r>
            <w:r w:rsidRPr="007C4037">
              <w:rPr>
                <w:rFonts w:ascii="Arial Narrow" w:hAnsi="Arial Narrow" w:cs="Arial"/>
              </w:rPr>
              <w:t xml:space="preserve"> y mejorar continuamente, con el propósito de contribuir al logro de los objetivos de la entidad de manera eficaz. </w:t>
            </w:r>
          </w:p>
          <w:p w14:paraId="481C385A" w14:textId="77777777" w:rsidR="007C4037" w:rsidRPr="007C4037" w:rsidRDefault="007C4037" w:rsidP="007C4037">
            <w:pPr>
              <w:spacing w:after="0"/>
              <w:jc w:val="both"/>
              <w:rPr>
                <w:rFonts w:ascii="Arial Narrow" w:hAnsi="Arial Narrow" w:cs="Arial"/>
              </w:rPr>
            </w:pPr>
          </w:p>
          <w:p w14:paraId="6C2E89ED" w14:textId="034AF809" w:rsidR="00001822" w:rsidRPr="007C4037" w:rsidRDefault="004A29CB" w:rsidP="007C4037">
            <w:pPr>
              <w:pStyle w:val="Prrafodelista"/>
              <w:numPr>
                <w:ilvl w:val="0"/>
                <w:numId w:val="36"/>
              </w:numPr>
              <w:spacing w:after="0"/>
              <w:jc w:val="both"/>
              <w:rPr>
                <w:rFonts w:ascii="Arial Narrow" w:hAnsi="Arial Narrow" w:cs="Arial"/>
              </w:rPr>
            </w:pPr>
            <w:r w:rsidRPr="007C4037">
              <w:rPr>
                <w:rFonts w:ascii="Arial Narrow" w:hAnsi="Arial Narrow" w:cs="Arial"/>
              </w:rPr>
              <w:t xml:space="preserve">Es importante indicar que en los planes de mejoramiento que se </w:t>
            </w:r>
            <w:r w:rsidR="00962613" w:rsidRPr="007C4037">
              <w:rPr>
                <w:rFonts w:ascii="Arial Narrow" w:hAnsi="Arial Narrow" w:cs="Arial"/>
              </w:rPr>
              <w:t>suscriban, el</w:t>
            </w:r>
            <w:r w:rsidRPr="007C4037">
              <w:rPr>
                <w:rFonts w:ascii="Arial Narrow" w:hAnsi="Arial Narrow" w:cs="Arial"/>
              </w:rPr>
              <w:t xml:space="preserve"> concepto de cierre de la acción por ser efectiva, emitido por los auditores de la OCI, no garantiza que el hallazgo u observación, o la causa raíz de éstos, vuelvan a ocurrir en el futuro, pues existen múltiples factores, endógenos y exógenos, que podrían incidir en que las situaciones detectadas vuelvan a presentarse</w:t>
            </w:r>
            <w:r w:rsidR="00001822" w:rsidRPr="007C4037">
              <w:rPr>
                <w:rFonts w:ascii="Arial Narrow" w:hAnsi="Arial Narrow" w:cs="Arial"/>
              </w:rPr>
              <w:t xml:space="preserve">. </w:t>
            </w:r>
          </w:p>
          <w:p w14:paraId="580D20EC" w14:textId="71EAC2F2" w:rsidR="002A3BC9" w:rsidRPr="008E397D" w:rsidRDefault="002A3BC9" w:rsidP="009468D1">
            <w:pPr>
              <w:spacing w:after="0"/>
              <w:jc w:val="both"/>
              <w:rPr>
                <w:rFonts w:ascii="Arial Narrow" w:hAnsi="Arial Narrow" w:cs="Arial"/>
              </w:rPr>
            </w:pP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246863A2" w14:textId="0AB1339C"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Default="008B3260" w:rsidP="00520457">
      <w:pPr>
        <w:spacing w:after="0" w:line="240" w:lineRule="auto"/>
        <w:jc w:val="both"/>
        <w:rPr>
          <w:rFonts w:ascii="Arial Narrow" w:hAnsi="Arial Narrow"/>
          <w:b/>
          <w:lang w:val="en-US"/>
        </w:rPr>
      </w:pPr>
      <w:r w:rsidRPr="00A34310">
        <w:rPr>
          <w:rFonts w:ascii="Arial Narrow" w:hAnsi="Arial Narrow" w:cs="Arial"/>
          <w:b/>
        </w:rPr>
        <w:t>Jefe Oficina de Control Interno</w:t>
      </w:r>
    </w:p>
    <w:p w14:paraId="1B88C694" w14:textId="2E6C759E" w:rsidR="00533EBB" w:rsidRDefault="00533EBB" w:rsidP="00533EBB">
      <w:pPr>
        <w:rPr>
          <w:rFonts w:ascii="Arial Narrow" w:hAnsi="Arial Narrow"/>
          <w:lang w:val="en-US"/>
        </w:rPr>
      </w:pPr>
    </w:p>
    <w:p w14:paraId="44BCED07" w14:textId="3BE047F9" w:rsidR="006F3320" w:rsidRDefault="00533EBB" w:rsidP="00533EBB">
      <w:pPr>
        <w:rPr>
          <w:rFonts w:ascii="Arial Narrow" w:hAnsi="Arial Narrow"/>
          <w:sz w:val="18"/>
          <w:szCs w:val="18"/>
          <w:lang w:val="en-US"/>
        </w:rPr>
      </w:pPr>
      <w:r w:rsidRPr="00533EBB">
        <w:rPr>
          <w:rFonts w:ascii="Arial Narrow" w:hAnsi="Arial Narrow"/>
          <w:sz w:val="18"/>
          <w:szCs w:val="18"/>
          <w:lang w:val="en-US"/>
        </w:rPr>
        <w:t>Elaboró: Liza Rojas Carrascal</w:t>
      </w:r>
    </w:p>
    <w:sectPr w:rsidR="006F3320" w:rsidSect="00FD750B">
      <w:headerReference w:type="default" r:id="rId17"/>
      <w:footerReference w:type="default" r:id="rId18"/>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CB7E" w14:textId="77777777" w:rsidR="00AA1D7A" w:rsidRDefault="00AA1D7A" w:rsidP="006B0C0A">
      <w:pPr>
        <w:spacing w:after="0" w:line="240" w:lineRule="auto"/>
      </w:pPr>
      <w:r>
        <w:separator/>
      </w:r>
    </w:p>
  </w:endnote>
  <w:endnote w:type="continuationSeparator" w:id="0">
    <w:p w14:paraId="5CF4B4FF" w14:textId="77777777" w:rsidR="00AA1D7A" w:rsidRDefault="00AA1D7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4166" w14:textId="77777777" w:rsidR="00AA1D7A" w:rsidRDefault="00AA1D7A" w:rsidP="006B0C0A">
      <w:pPr>
        <w:spacing w:after="0" w:line="240" w:lineRule="auto"/>
      </w:pPr>
      <w:r>
        <w:separator/>
      </w:r>
    </w:p>
  </w:footnote>
  <w:footnote w:type="continuationSeparator" w:id="0">
    <w:p w14:paraId="4471353D" w14:textId="77777777" w:rsidR="00AA1D7A" w:rsidRDefault="00AA1D7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C10BEE" w:rsidRDefault="00C10BEE" w:rsidP="000F2FEE">
    <w:pPr>
      <w:pStyle w:val="Encabezado"/>
      <w:ind w:left="-567" w:firstLine="567"/>
      <w:jc w:val="right"/>
      <w:rPr>
        <w:noProof/>
      </w:rPr>
    </w:pPr>
    <w:r w:rsidRPr="000F0DC6">
      <w:rPr>
        <w:noProof/>
        <w:lang w:val="es-419" w:eastAsia="es-419"/>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s-419" w:eastAsia="es-419"/>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9F7A"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E08"/>
      </v:shape>
    </w:pict>
  </w:numPicBullet>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637056"/>
    <w:multiLevelType w:val="hybridMultilevel"/>
    <w:tmpl w:val="C41A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5D862F4"/>
    <w:multiLevelType w:val="hybridMultilevel"/>
    <w:tmpl w:val="F624765E"/>
    <w:lvl w:ilvl="0" w:tplc="0C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542925"/>
    <w:multiLevelType w:val="hybridMultilevel"/>
    <w:tmpl w:val="4F7235BC"/>
    <w:lvl w:ilvl="0" w:tplc="0C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31"/>
  </w:num>
  <w:num w:numId="5">
    <w:abstractNumId w:val="6"/>
  </w:num>
  <w:num w:numId="6">
    <w:abstractNumId w:val="35"/>
  </w:num>
  <w:num w:numId="7">
    <w:abstractNumId w:val="23"/>
  </w:num>
  <w:num w:numId="8">
    <w:abstractNumId w:val="11"/>
  </w:num>
  <w:num w:numId="9">
    <w:abstractNumId w:val="30"/>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3"/>
  </w:num>
  <w:num w:numId="22">
    <w:abstractNumId w:val="15"/>
  </w:num>
  <w:num w:numId="23">
    <w:abstractNumId w:val="24"/>
  </w:num>
  <w:num w:numId="24">
    <w:abstractNumId w:val="1"/>
  </w:num>
  <w:num w:numId="25">
    <w:abstractNumId w:val="29"/>
  </w:num>
  <w:num w:numId="26">
    <w:abstractNumId w:val="18"/>
  </w:num>
  <w:num w:numId="27">
    <w:abstractNumId w:val="21"/>
  </w:num>
  <w:num w:numId="28">
    <w:abstractNumId w:val="25"/>
  </w:num>
  <w:num w:numId="29">
    <w:abstractNumId w:val="13"/>
  </w:num>
  <w:num w:numId="30">
    <w:abstractNumId w:val="17"/>
  </w:num>
  <w:num w:numId="31">
    <w:abstractNumId w:val="34"/>
  </w:num>
  <w:num w:numId="32">
    <w:abstractNumId w:val="32"/>
  </w:num>
  <w:num w:numId="33">
    <w:abstractNumId w:val="27"/>
  </w:num>
  <w:num w:numId="34">
    <w:abstractNumId w:val="22"/>
  </w:num>
  <w:num w:numId="35">
    <w:abstractNumId w:val="26"/>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822"/>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8765E"/>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7EA1"/>
    <w:rsid w:val="00197F30"/>
    <w:rsid w:val="001A608F"/>
    <w:rsid w:val="001A79F4"/>
    <w:rsid w:val="001B3CCC"/>
    <w:rsid w:val="001B40E6"/>
    <w:rsid w:val="001B4585"/>
    <w:rsid w:val="001B691D"/>
    <w:rsid w:val="001B7BF0"/>
    <w:rsid w:val="001C0AC6"/>
    <w:rsid w:val="001C6BCF"/>
    <w:rsid w:val="001D2B19"/>
    <w:rsid w:val="001E0720"/>
    <w:rsid w:val="001E5B1C"/>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32E9"/>
    <w:rsid w:val="00245D49"/>
    <w:rsid w:val="0025097F"/>
    <w:rsid w:val="002519F5"/>
    <w:rsid w:val="0025477E"/>
    <w:rsid w:val="0026092F"/>
    <w:rsid w:val="00267E47"/>
    <w:rsid w:val="002730E1"/>
    <w:rsid w:val="00281014"/>
    <w:rsid w:val="00283737"/>
    <w:rsid w:val="00283D90"/>
    <w:rsid w:val="00284C38"/>
    <w:rsid w:val="0029037D"/>
    <w:rsid w:val="002935F3"/>
    <w:rsid w:val="0029425F"/>
    <w:rsid w:val="00296052"/>
    <w:rsid w:val="002A3611"/>
    <w:rsid w:val="002A3B92"/>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6E1F"/>
    <w:rsid w:val="00300457"/>
    <w:rsid w:val="00314E0C"/>
    <w:rsid w:val="00317AFD"/>
    <w:rsid w:val="003218CA"/>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3842"/>
    <w:rsid w:val="003B3AD7"/>
    <w:rsid w:val="003B3FFB"/>
    <w:rsid w:val="003C3550"/>
    <w:rsid w:val="003C402E"/>
    <w:rsid w:val="003C5C49"/>
    <w:rsid w:val="003C7535"/>
    <w:rsid w:val="003C7ABD"/>
    <w:rsid w:val="003D24E1"/>
    <w:rsid w:val="003D312F"/>
    <w:rsid w:val="003D5FA6"/>
    <w:rsid w:val="003F4CE0"/>
    <w:rsid w:val="003F6D90"/>
    <w:rsid w:val="004106A1"/>
    <w:rsid w:val="00411407"/>
    <w:rsid w:val="004159A2"/>
    <w:rsid w:val="00422C2C"/>
    <w:rsid w:val="0042656D"/>
    <w:rsid w:val="0044112C"/>
    <w:rsid w:val="00441C85"/>
    <w:rsid w:val="0044685E"/>
    <w:rsid w:val="00452BF0"/>
    <w:rsid w:val="004614F8"/>
    <w:rsid w:val="0046395A"/>
    <w:rsid w:val="0046521C"/>
    <w:rsid w:val="00467293"/>
    <w:rsid w:val="00467EA1"/>
    <w:rsid w:val="00476642"/>
    <w:rsid w:val="00490CBC"/>
    <w:rsid w:val="004965E5"/>
    <w:rsid w:val="004A29CB"/>
    <w:rsid w:val="004B2450"/>
    <w:rsid w:val="004D13C2"/>
    <w:rsid w:val="004D2C36"/>
    <w:rsid w:val="004D6277"/>
    <w:rsid w:val="004E05D1"/>
    <w:rsid w:val="004E0D9D"/>
    <w:rsid w:val="004E203D"/>
    <w:rsid w:val="004E3AB4"/>
    <w:rsid w:val="004F2D07"/>
    <w:rsid w:val="004F70B3"/>
    <w:rsid w:val="00506E05"/>
    <w:rsid w:val="0051098D"/>
    <w:rsid w:val="00512CFC"/>
    <w:rsid w:val="00520457"/>
    <w:rsid w:val="005251B8"/>
    <w:rsid w:val="00530E9F"/>
    <w:rsid w:val="00533EBB"/>
    <w:rsid w:val="00536F59"/>
    <w:rsid w:val="00540B4D"/>
    <w:rsid w:val="00540B86"/>
    <w:rsid w:val="005422EF"/>
    <w:rsid w:val="00542AA0"/>
    <w:rsid w:val="005433A0"/>
    <w:rsid w:val="00556317"/>
    <w:rsid w:val="00560788"/>
    <w:rsid w:val="0056360D"/>
    <w:rsid w:val="00566964"/>
    <w:rsid w:val="005740BF"/>
    <w:rsid w:val="00590EED"/>
    <w:rsid w:val="00594589"/>
    <w:rsid w:val="005A376C"/>
    <w:rsid w:val="005A5551"/>
    <w:rsid w:val="005A7070"/>
    <w:rsid w:val="005B3D1E"/>
    <w:rsid w:val="005B44CD"/>
    <w:rsid w:val="005B454B"/>
    <w:rsid w:val="005C0CBB"/>
    <w:rsid w:val="005C114A"/>
    <w:rsid w:val="005C3172"/>
    <w:rsid w:val="005C4110"/>
    <w:rsid w:val="005C44A2"/>
    <w:rsid w:val="005C5BF7"/>
    <w:rsid w:val="005C781B"/>
    <w:rsid w:val="005C7D38"/>
    <w:rsid w:val="005D008A"/>
    <w:rsid w:val="005D7137"/>
    <w:rsid w:val="005D7AF6"/>
    <w:rsid w:val="005E2D54"/>
    <w:rsid w:val="005E53D9"/>
    <w:rsid w:val="005F4537"/>
    <w:rsid w:val="00602B04"/>
    <w:rsid w:val="00607492"/>
    <w:rsid w:val="006124CB"/>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3026"/>
    <w:rsid w:val="006C57CD"/>
    <w:rsid w:val="006D059A"/>
    <w:rsid w:val="006D07C3"/>
    <w:rsid w:val="006D3F08"/>
    <w:rsid w:val="006D5789"/>
    <w:rsid w:val="006E0018"/>
    <w:rsid w:val="006E19B6"/>
    <w:rsid w:val="006E679B"/>
    <w:rsid w:val="006F0982"/>
    <w:rsid w:val="006F1CFF"/>
    <w:rsid w:val="006F3320"/>
    <w:rsid w:val="006F4EED"/>
    <w:rsid w:val="006F5727"/>
    <w:rsid w:val="00702CBA"/>
    <w:rsid w:val="0070424A"/>
    <w:rsid w:val="00705756"/>
    <w:rsid w:val="00705A49"/>
    <w:rsid w:val="007131CF"/>
    <w:rsid w:val="00716719"/>
    <w:rsid w:val="00726181"/>
    <w:rsid w:val="00733693"/>
    <w:rsid w:val="00736976"/>
    <w:rsid w:val="00736B61"/>
    <w:rsid w:val="007378AF"/>
    <w:rsid w:val="007725D7"/>
    <w:rsid w:val="0077291E"/>
    <w:rsid w:val="00773A04"/>
    <w:rsid w:val="00773DB4"/>
    <w:rsid w:val="0077618D"/>
    <w:rsid w:val="00781D9C"/>
    <w:rsid w:val="0079509B"/>
    <w:rsid w:val="007976F7"/>
    <w:rsid w:val="007A00E8"/>
    <w:rsid w:val="007A5CDB"/>
    <w:rsid w:val="007B1187"/>
    <w:rsid w:val="007B181E"/>
    <w:rsid w:val="007C0DB8"/>
    <w:rsid w:val="007C4037"/>
    <w:rsid w:val="007D23F9"/>
    <w:rsid w:val="007D268F"/>
    <w:rsid w:val="007E0E24"/>
    <w:rsid w:val="007E5AEC"/>
    <w:rsid w:val="007F11B2"/>
    <w:rsid w:val="007F330B"/>
    <w:rsid w:val="007F5A53"/>
    <w:rsid w:val="00801E81"/>
    <w:rsid w:val="00803349"/>
    <w:rsid w:val="008037C4"/>
    <w:rsid w:val="0080507E"/>
    <w:rsid w:val="00806279"/>
    <w:rsid w:val="008237E1"/>
    <w:rsid w:val="00823DB2"/>
    <w:rsid w:val="008303E6"/>
    <w:rsid w:val="00831D97"/>
    <w:rsid w:val="008339BE"/>
    <w:rsid w:val="008344FE"/>
    <w:rsid w:val="0083693A"/>
    <w:rsid w:val="008417C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397D"/>
    <w:rsid w:val="008E6947"/>
    <w:rsid w:val="00910B5C"/>
    <w:rsid w:val="00911217"/>
    <w:rsid w:val="0091242D"/>
    <w:rsid w:val="00917122"/>
    <w:rsid w:val="00927072"/>
    <w:rsid w:val="00941C33"/>
    <w:rsid w:val="0094359F"/>
    <w:rsid w:val="00945E3D"/>
    <w:rsid w:val="009468D1"/>
    <w:rsid w:val="00946AD9"/>
    <w:rsid w:val="00961DC8"/>
    <w:rsid w:val="0096251C"/>
    <w:rsid w:val="00962613"/>
    <w:rsid w:val="00962BF9"/>
    <w:rsid w:val="00964BE9"/>
    <w:rsid w:val="00984EFC"/>
    <w:rsid w:val="00987802"/>
    <w:rsid w:val="0099163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537CB"/>
    <w:rsid w:val="00A64756"/>
    <w:rsid w:val="00A653C7"/>
    <w:rsid w:val="00A65B07"/>
    <w:rsid w:val="00A65B45"/>
    <w:rsid w:val="00A67138"/>
    <w:rsid w:val="00A67FF7"/>
    <w:rsid w:val="00A71F74"/>
    <w:rsid w:val="00A7655D"/>
    <w:rsid w:val="00A76F16"/>
    <w:rsid w:val="00A81180"/>
    <w:rsid w:val="00A865CC"/>
    <w:rsid w:val="00A867A1"/>
    <w:rsid w:val="00A9019F"/>
    <w:rsid w:val="00A91F3D"/>
    <w:rsid w:val="00A95F19"/>
    <w:rsid w:val="00A96D2E"/>
    <w:rsid w:val="00A977F1"/>
    <w:rsid w:val="00AA1D7A"/>
    <w:rsid w:val="00AA6A82"/>
    <w:rsid w:val="00AB3D04"/>
    <w:rsid w:val="00AB3DBC"/>
    <w:rsid w:val="00AB6CE1"/>
    <w:rsid w:val="00AC3610"/>
    <w:rsid w:val="00AC69AB"/>
    <w:rsid w:val="00AD11FA"/>
    <w:rsid w:val="00AD2A2B"/>
    <w:rsid w:val="00AD6156"/>
    <w:rsid w:val="00AE209B"/>
    <w:rsid w:val="00AE2B59"/>
    <w:rsid w:val="00AE4268"/>
    <w:rsid w:val="00AF0A1B"/>
    <w:rsid w:val="00AF34EC"/>
    <w:rsid w:val="00AF3AB1"/>
    <w:rsid w:val="00B01E91"/>
    <w:rsid w:val="00B04799"/>
    <w:rsid w:val="00B0555E"/>
    <w:rsid w:val="00B07A95"/>
    <w:rsid w:val="00B10719"/>
    <w:rsid w:val="00B15AD0"/>
    <w:rsid w:val="00B26F89"/>
    <w:rsid w:val="00B327B9"/>
    <w:rsid w:val="00B37864"/>
    <w:rsid w:val="00B40760"/>
    <w:rsid w:val="00B44836"/>
    <w:rsid w:val="00B5052C"/>
    <w:rsid w:val="00B5149A"/>
    <w:rsid w:val="00B51FA1"/>
    <w:rsid w:val="00B52166"/>
    <w:rsid w:val="00B572BA"/>
    <w:rsid w:val="00B6622A"/>
    <w:rsid w:val="00B67056"/>
    <w:rsid w:val="00B70A25"/>
    <w:rsid w:val="00B753D7"/>
    <w:rsid w:val="00B760BB"/>
    <w:rsid w:val="00B80FEC"/>
    <w:rsid w:val="00B82925"/>
    <w:rsid w:val="00B954BD"/>
    <w:rsid w:val="00BA22ED"/>
    <w:rsid w:val="00BA51F0"/>
    <w:rsid w:val="00BB1311"/>
    <w:rsid w:val="00BB71BF"/>
    <w:rsid w:val="00BB7A9E"/>
    <w:rsid w:val="00BC538E"/>
    <w:rsid w:val="00BC6B8D"/>
    <w:rsid w:val="00BD27CB"/>
    <w:rsid w:val="00BD4602"/>
    <w:rsid w:val="00BE036B"/>
    <w:rsid w:val="00BE3107"/>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655"/>
    <w:rsid w:val="00CA1BC2"/>
    <w:rsid w:val="00CA2A96"/>
    <w:rsid w:val="00CA6019"/>
    <w:rsid w:val="00CB02C4"/>
    <w:rsid w:val="00CB24FD"/>
    <w:rsid w:val="00CB4D6B"/>
    <w:rsid w:val="00CB68DA"/>
    <w:rsid w:val="00CC66AA"/>
    <w:rsid w:val="00CE20D1"/>
    <w:rsid w:val="00CE4958"/>
    <w:rsid w:val="00CE51D9"/>
    <w:rsid w:val="00CE56CC"/>
    <w:rsid w:val="00CF2D34"/>
    <w:rsid w:val="00CF3197"/>
    <w:rsid w:val="00CF5B5A"/>
    <w:rsid w:val="00D00317"/>
    <w:rsid w:val="00D006DB"/>
    <w:rsid w:val="00D03F17"/>
    <w:rsid w:val="00D049ED"/>
    <w:rsid w:val="00D24E91"/>
    <w:rsid w:val="00D27775"/>
    <w:rsid w:val="00D37736"/>
    <w:rsid w:val="00D43DD3"/>
    <w:rsid w:val="00D451E3"/>
    <w:rsid w:val="00D46A1F"/>
    <w:rsid w:val="00D54308"/>
    <w:rsid w:val="00D61203"/>
    <w:rsid w:val="00D6636D"/>
    <w:rsid w:val="00D70C91"/>
    <w:rsid w:val="00D76C0D"/>
    <w:rsid w:val="00D82CBC"/>
    <w:rsid w:val="00D96ABB"/>
    <w:rsid w:val="00D96CE8"/>
    <w:rsid w:val="00D974DE"/>
    <w:rsid w:val="00D97CF1"/>
    <w:rsid w:val="00DA4C7E"/>
    <w:rsid w:val="00DB0673"/>
    <w:rsid w:val="00DB1628"/>
    <w:rsid w:val="00DB17D8"/>
    <w:rsid w:val="00DC4261"/>
    <w:rsid w:val="00DD0A09"/>
    <w:rsid w:val="00DD3163"/>
    <w:rsid w:val="00DD7350"/>
    <w:rsid w:val="00DE04AE"/>
    <w:rsid w:val="00DE60DA"/>
    <w:rsid w:val="00DE617E"/>
    <w:rsid w:val="00DF2D04"/>
    <w:rsid w:val="00DF3069"/>
    <w:rsid w:val="00DF69DA"/>
    <w:rsid w:val="00DF7740"/>
    <w:rsid w:val="00E015F5"/>
    <w:rsid w:val="00E104FF"/>
    <w:rsid w:val="00E11CF2"/>
    <w:rsid w:val="00E14E01"/>
    <w:rsid w:val="00E22614"/>
    <w:rsid w:val="00E23409"/>
    <w:rsid w:val="00E24387"/>
    <w:rsid w:val="00E266B6"/>
    <w:rsid w:val="00E35760"/>
    <w:rsid w:val="00E37FB9"/>
    <w:rsid w:val="00E44FDE"/>
    <w:rsid w:val="00E4560A"/>
    <w:rsid w:val="00E46577"/>
    <w:rsid w:val="00E46B92"/>
    <w:rsid w:val="00E5011C"/>
    <w:rsid w:val="00E6081F"/>
    <w:rsid w:val="00E61633"/>
    <w:rsid w:val="00E64D00"/>
    <w:rsid w:val="00E65174"/>
    <w:rsid w:val="00E73E12"/>
    <w:rsid w:val="00E771E7"/>
    <w:rsid w:val="00E82D50"/>
    <w:rsid w:val="00E83694"/>
    <w:rsid w:val="00E84C16"/>
    <w:rsid w:val="00E850F5"/>
    <w:rsid w:val="00EA2B37"/>
    <w:rsid w:val="00EA60E8"/>
    <w:rsid w:val="00EC2ACB"/>
    <w:rsid w:val="00EC3D89"/>
    <w:rsid w:val="00EC43A3"/>
    <w:rsid w:val="00ED1EF5"/>
    <w:rsid w:val="00ED5FC5"/>
    <w:rsid w:val="00EE11A3"/>
    <w:rsid w:val="00EE3BFF"/>
    <w:rsid w:val="00EE7158"/>
    <w:rsid w:val="00EF47EA"/>
    <w:rsid w:val="00EF4E39"/>
    <w:rsid w:val="00EF7A34"/>
    <w:rsid w:val="00F00485"/>
    <w:rsid w:val="00F10739"/>
    <w:rsid w:val="00F11037"/>
    <w:rsid w:val="00F14480"/>
    <w:rsid w:val="00F170E2"/>
    <w:rsid w:val="00F32C74"/>
    <w:rsid w:val="00F424BA"/>
    <w:rsid w:val="00F47AF8"/>
    <w:rsid w:val="00F54ECA"/>
    <w:rsid w:val="00F57816"/>
    <w:rsid w:val="00F62870"/>
    <w:rsid w:val="00F64D87"/>
    <w:rsid w:val="00F66736"/>
    <w:rsid w:val="00F669E0"/>
    <w:rsid w:val="00F70D7F"/>
    <w:rsid w:val="00F74931"/>
    <w:rsid w:val="00F8248B"/>
    <w:rsid w:val="00F83C0F"/>
    <w:rsid w:val="00F85825"/>
    <w:rsid w:val="00F85B8B"/>
    <w:rsid w:val="00F9090D"/>
    <w:rsid w:val="00F92AFE"/>
    <w:rsid w:val="00F949B2"/>
    <w:rsid w:val="00F9628A"/>
    <w:rsid w:val="00F96B0C"/>
    <w:rsid w:val="00FA1057"/>
    <w:rsid w:val="00FB24B2"/>
    <w:rsid w:val="00FB38E6"/>
    <w:rsid w:val="00FD193F"/>
    <w:rsid w:val="00FD259D"/>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20398007">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2365402">
      <w:bodyDiv w:val="1"/>
      <w:marLeft w:val="0"/>
      <w:marRight w:val="0"/>
      <w:marTop w:val="0"/>
      <w:marBottom w:val="0"/>
      <w:divBdr>
        <w:top w:val="none" w:sz="0" w:space="0" w:color="auto"/>
        <w:left w:val="none" w:sz="0" w:space="0" w:color="auto"/>
        <w:bottom w:val="none" w:sz="0" w:space="0" w:color="auto"/>
        <w:right w:val="none" w:sz="0" w:space="0" w:color="auto"/>
      </w:divBdr>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56193582">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73957772">
      <w:bodyDiv w:val="1"/>
      <w:marLeft w:val="0"/>
      <w:marRight w:val="0"/>
      <w:marTop w:val="0"/>
      <w:marBottom w:val="0"/>
      <w:divBdr>
        <w:top w:val="none" w:sz="0" w:space="0" w:color="auto"/>
        <w:left w:val="none" w:sz="0" w:space="0" w:color="auto"/>
        <w:bottom w:val="none" w:sz="0" w:space="0" w:color="auto"/>
        <w:right w:val="none" w:sz="0" w:space="0" w:color="auto"/>
      </w:divBdr>
    </w:div>
    <w:div w:id="191193854">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50050692">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371418752">
      <w:bodyDiv w:val="1"/>
      <w:marLeft w:val="0"/>
      <w:marRight w:val="0"/>
      <w:marTop w:val="0"/>
      <w:marBottom w:val="0"/>
      <w:divBdr>
        <w:top w:val="none" w:sz="0" w:space="0" w:color="auto"/>
        <w:left w:val="none" w:sz="0" w:space="0" w:color="auto"/>
        <w:bottom w:val="none" w:sz="0" w:space="0" w:color="auto"/>
        <w:right w:val="none" w:sz="0" w:space="0" w:color="auto"/>
      </w:divBdr>
    </w:div>
    <w:div w:id="375281324">
      <w:bodyDiv w:val="1"/>
      <w:marLeft w:val="0"/>
      <w:marRight w:val="0"/>
      <w:marTop w:val="0"/>
      <w:marBottom w:val="0"/>
      <w:divBdr>
        <w:top w:val="none" w:sz="0" w:space="0" w:color="auto"/>
        <w:left w:val="none" w:sz="0" w:space="0" w:color="auto"/>
        <w:bottom w:val="none" w:sz="0" w:space="0" w:color="auto"/>
        <w:right w:val="none" w:sz="0" w:space="0" w:color="auto"/>
      </w:divBdr>
    </w:div>
    <w:div w:id="378938053">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552079309">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69353007">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1241507">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8509646">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55597413">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0493905">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170681249">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315526654">
      <w:bodyDiv w:val="1"/>
      <w:marLeft w:val="0"/>
      <w:marRight w:val="0"/>
      <w:marTop w:val="0"/>
      <w:marBottom w:val="0"/>
      <w:divBdr>
        <w:top w:val="none" w:sz="0" w:space="0" w:color="auto"/>
        <w:left w:val="none" w:sz="0" w:space="0" w:color="auto"/>
        <w:bottom w:val="none" w:sz="0" w:space="0" w:color="auto"/>
        <w:right w:val="none" w:sz="0" w:space="0" w:color="auto"/>
      </w:divBdr>
    </w:div>
    <w:div w:id="133090847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1671570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742368754">
      <w:bodyDiv w:val="1"/>
      <w:marLeft w:val="0"/>
      <w:marRight w:val="0"/>
      <w:marTop w:val="0"/>
      <w:marBottom w:val="0"/>
      <w:divBdr>
        <w:top w:val="none" w:sz="0" w:space="0" w:color="auto"/>
        <w:left w:val="none" w:sz="0" w:space="0" w:color="auto"/>
        <w:bottom w:val="none" w:sz="0" w:space="0" w:color="auto"/>
        <w:right w:val="none" w:sz="0" w:space="0" w:color="auto"/>
      </w:divBdr>
    </w:div>
    <w:div w:id="1796171960">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44068344">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022395288">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4" ma:contentTypeDescription="Crear nuevo documento." ma:contentTypeScope="" ma:versionID="7aa0eb1183d65bf21b1b87cf9feb4610">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76a8eea4eb500a103fb81175512776db"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2.xml><?xml version="1.0" encoding="utf-8"?>
<ds:datastoreItem xmlns:ds="http://schemas.openxmlformats.org/officeDocument/2006/customXml" ds:itemID="{F7F6F054-C94D-4654-99DB-FB3D806D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0AA1F-0817-4859-9ADD-2481873B4079}">
  <ds:schemaRefs>
    <ds:schemaRef ds:uri="http://purl.org/dc/dcmitype/"/>
    <ds:schemaRef ds:uri="http://purl.org/dc/terms/"/>
    <ds:schemaRef ds:uri="http://schemas.microsoft.com/office/infopath/2007/PartnerControls"/>
    <ds:schemaRef ds:uri="http://purl.org/dc/elements/1.1/"/>
    <ds:schemaRef ds:uri="http://www.w3.org/XML/1998/namespace"/>
    <ds:schemaRef ds:uri="2d1be4ed-47b2-4f03-848b-d3f87b9a0586"/>
    <ds:schemaRef ds:uri="fade6b8a-bdf4-42c1-a40d-44572e418d0f"/>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461A859-50C2-49FF-BC02-6B715EE2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300</TotalTime>
  <Pages>10</Pages>
  <Words>4534</Words>
  <Characters>24942</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 Rojas Carrascal</cp:lastModifiedBy>
  <cp:revision>17</cp:revision>
  <cp:lastPrinted>2019-10-24T14:28:00Z</cp:lastPrinted>
  <dcterms:created xsi:type="dcterms:W3CDTF">2021-08-09T19:56:00Z</dcterms:created>
  <dcterms:modified xsi:type="dcterms:W3CDTF">2021-08-25T13:32:00Z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